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F5845F" w14:textId="77777777" w:rsidR="00FE5799" w:rsidRPr="004708AE" w:rsidRDefault="00FE5799" w:rsidP="00FE5799">
      <w:pPr>
        <w:pStyle w:val="Header"/>
        <w:tabs>
          <w:tab w:val="clear" w:pos="4536"/>
        </w:tabs>
        <w:rPr>
          <w:i/>
          <w:lang w:val="en-AU"/>
        </w:rPr>
      </w:pPr>
      <w:r w:rsidRPr="004708AE">
        <w:rPr>
          <w:lang w:val="en-AU"/>
        </w:rPr>
        <w:t>TSG-RAN WG1 #</w:t>
      </w:r>
      <w:r w:rsidR="009C6E6C" w:rsidRPr="004708AE">
        <w:rPr>
          <w:lang w:val="en-AU"/>
        </w:rPr>
        <w:t>85</w:t>
      </w:r>
      <w:r w:rsidRPr="004708AE">
        <w:rPr>
          <w:lang w:val="en-AU"/>
        </w:rPr>
        <w:tab/>
        <w:t>R1-</w:t>
      </w:r>
      <w:r w:rsidR="00F51437" w:rsidRPr="004708AE">
        <w:rPr>
          <w:lang w:val="en-AU"/>
        </w:rPr>
        <w:t>164975</w:t>
      </w:r>
    </w:p>
    <w:p w14:paraId="38E410CC" w14:textId="77777777" w:rsidR="00FE5799" w:rsidRPr="004708AE" w:rsidRDefault="009C6E6C" w:rsidP="00FE5799">
      <w:pPr>
        <w:pStyle w:val="Header"/>
        <w:rPr>
          <w:color w:val="000000"/>
          <w:lang w:val="en-AU"/>
        </w:rPr>
      </w:pPr>
      <w:r w:rsidRPr="004708AE">
        <w:rPr>
          <w:lang w:val="en-AU"/>
        </w:rPr>
        <w:t>Nanjing, China, May 23 – 27</w:t>
      </w:r>
      <w:r w:rsidR="00FE5799" w:rsidRPr="004708AE">
        <w:rPr>
          <w:lang w:val="en-AU"/>
        </w:rPr>
        <w:t>, 2016</w:t>
      </w:r>
    </w:p>
    <w:p w14:paraId="20652553" w14:textId="77777777" w:rsidR="00FE5799" w:rsidRPr="004708AE" w:rsidRDefault="00FE5799" w:rsidP="00FE5799">
      <w:pPr>
        <w:pStyle w:val="Header"/>
        <w:rPr>
          <w:lang w:val="en-AU"/>
        </w:rPr>
      </w:pPr>
    </w:p>
    <w:p w14:paraId="63559201" w14:textId="77777777" w:rsidR="00FE5799" w:rsidRPr="004708AE" w:rsidRDefault="00FE5799" w:rsidP="00FE5799">
      <w:pPr>
        <w:pStyle w:val="Header"/>
        <w:tabs>
          <w:tab w:val="clear" w:pos="4536"/>
          <w:tab w:val="left" w:pos="1800"/>
        </w:tabs>
        <w:ind w:left="1800" w:hanging="1800"/>
        <w:rPr>
          <w:lang w:val="en-AU"/>
        </w:rPr>
      </w:pPr>
      <w:r w:rsidRPr="004708AE">
        <w:rPr>
          <w:lang w:val="en-AU"/>
        </w:rPr>
        <w:t>Source:</w:t>
      </w:r>
      <w:r w:rsidRPr="004708AE">
        <w:rPr>
          <w:lang w:val="en-AU"/>
        </w:rPr>
        <w:tab/>
      </w:r>
      <w:r w:rsidR="00A120E1" w:rsidRPr="004708AE">
        <w:rPr>
          <w:lang w:val="en-AU"/>
        </w:rPr>
        <w:t>Telstra</w:t>
      </w:r>
      <w:r w:rsidR="009C6E6C" w:rsidRPr="004708AE">
        <w:rPr>
          <w:lang w:val="en-AU"/>
        </w:rPr>
        <w:t>, Ericsson</w:t>
      </w:r>
    </w:p>
    <w:p w14:paraId="64CF1AAF" w14:textId="77777777" w:rsidR="00FE5799" w:rsidRPr="004708AE" w:rsidRDefault="00FE5799" w:rsidP="00FE5799">
      <w:pPr>
        <w:pStyle w:val="Header"/>
        <w:tabs>
          <w:tab w:val="clear" w:pos="4536"/>
          <w:tab w:val="left" w:pos="1800"/>
        </w:tabs>
        <w:rPr>
          <w:lang w:val="en-AU"/>
        </w:rPr>
      </w:pPr>
      <w:r w:rsidRPr="004708AE">
        <w:rPr>
          <w:lang w:val="en-AU"/>
        </w:rPr>
        <w:t>Title:</w:t>
      </w:r>
      <w:bookmarkStart w:id="0" w:name="Title"/>
      <w:bookmarkEnd w:id="0"/>
      <w:r w:rsidRPr="004708AE">
        <w:rPr>
          <w:lang w:val="en-AU"/>
        </w:rPr>
        <w:tab/>
      </w:r>
      <w:r w:rsidR="00262AB8" w:rsidRPr="004708AE">
        <w:rPr>
          <w:lang w:val="en-AU"/>
        </w:rPr>
        <w:t xml:space="preserve">New </w:t>
      </w:r>
      <w:r w:rsidR="009C6E6C" w:rsidRPr="004708AE">
        <w:rPr>
          <w:lang w:val="en-AU"/>
        </w:rPr>
        <w:t>measurements at 24 GHz in a rural macro environment</w:t>
      </w:r>
    </w:p>
    <w:p w14:paraId="783FA21C" w14:textId="77777777" w:rsidR="00FE5799" w:rsidRPr="004708AE" w:rsidRDefault="00FE5799" w:rsidP="00FE5799">
      <w:pPr>
        <w:pStyle w:val="Header"/>
        <w:tabs>
          <w:tab w:val="left" w:pos="1800"/>
        </w:tabs>
        <w:rPr>
          <w:lang w:val="en-AU"/>
        </w:rPr>
      </w:pPr>
      <w:r w:rsidRPr="004708AE">
        <w:rPr>
          <w:lang w:val="en-AU"/>
        </w:rPr>
        <w:t>Agenda Item:</w:t>
      </w:r>
      <w:bookmarkStart w:id="1" w:name="Source"/>
      <w:bookmarkEnd w:id="1"/>
      <w:r w:rsidRPr="004708AE">
        <w:rPr>
          <w:lang w:val="en-AU"/>
        </w:rPr>
        <w:tab/>
      </w:r>
      <w:r w:rsidR="009C6E6C" w:rsidRPr="004708AE">
        <w:rPr>
          <w:lang w:val="en-AU"/>
        </w:rPr>
        <w:t>7.2.1</w:t>
      </w:r>
    </w:p>
    <w:p w14:paraId="3C3AF3A6" w14:textId="77777777" w:rsidR="00FE5799" w:rsidRPr="004708AE" w:rsidRDefault="00FE5799" w:rsidP="00FE5799">
      <w:pPr>
        <w:pStyle w:val="Header"/>
        <w:tabs>
          <w:tab w:val="left" w:pos="1800"/>
        </w:tabs>
        <w:rPr>
          <w:lang w:val="en-AU"/>
        </w:rPr>
      </w:pPr>
      <w:r w:rsidRPr="004708AE">
        <w:rPr>
          <w:lang w:val="en-AU"/>
        </w:rPr>
        <w:t>Document for:</w:t>
      </w:r>
      <w:r w:rsidRPr="004708AE">
        <w:rPr>
          <w:lang w:val="en-AU"/>
        </w:rPr>
        <w:tab/>
      </w:r>
      <w:bookmarkStart w:id="2" w:name="DocumentFor"/>
      <w:bookmarkEnd w:id="2"/>
      <w:r w:rsidRPr="004708AE">
        <w:rPr>
          <w:lang w:val="en-AU"/>
        </w:rPr>
        <w:t>Discussion and Decision</w:t>
      </w:r>
    </w:p>
    <w:p w14:paraId="3CA1FB4D" w14:textId="77777777" w:rsidR="00FE5799" w:rsidRPr="004708AE" w:rsidRDefault="00FE5799" w:rsidP="00FE5799">
      <w:pPr>
        <w:pBdr>
          <w:bottom w:val="single" w:sz="4" w:space="1" w:color="auto"/>
        </w:pBdr>
        <w:tabs>
          <w:tab w:val="left" w:pos="2552"/>
        </w:tabs>
        <w:rPr>
          <w:lang w:val="en-AU"/>
        </w:rPr>
      </w:pPr>
    </w:p>
    <w:p w14:paraId="2D328434" w14:textId="77777777" w:rsidR="004A3F44" w:rsidRPr="004708AE" w:rsidRDefault="001639B5" w:rsidP="004A3F44">
      <w:pPr>
        <w:pStyle w:val="Heading1"/>
        <w:rPr>
          <w:lang w:val="en-AU"/>
        </w:rPr>
      </w:pPr>
      <w:r w:rsidRPr="004708AE">
        <w:rPr>
          <w:lang w:val="en-AU"/>
        </w:rPr>
        <w:t>Introduction</w:t>
      </w:r>
    </w:p>
    <w:p w14:paraId="06068075" w14:textId="4B8EF20C" w:rsidR="001639B5" w:rsidRPr="004708AE" w:rsidRDefault="007C091B" w:rsidP="00A55C73">
      <w:pPr>
        <w:pStyle w:val="BodyText"/>
        <w:rPr>
          <w:lang w:val="en-AU"/>
        </w:rPr>
      </w:pPr>
      <w:r w:rsidRPr="004708AE">
        <w:rPr>
          <w:lang w:val="en-AU"/>
        </w:rPr>
        <w:t xml:space="preserve">In the TR on Study on Scenarios and Requirements for Next Generation Access Technologies </w:t>
      </w:r>
      <w:r w:rsidRPr="004708AE">
        <w:rPr>
          <w:lang w:val="en-AU"/>
        </w:rPr>
        <w:fldChar w:fldCharType="begin"/>
      </w:r>
      <w:r w:rsidRPr="004708AE">
        <w:rPr>
          <w:lang w:val="en-AU"/>
        </w:rPr>
        <w:instrText xml:space="preserve"> REF _Ref448450518 \r \h </w:instrText>
      </w:r>
      <w:r w:rsidRPr="004708AE">
        <w:rPr>
          <w:lang w:val="en-AU"/>
        </w:rPr>
      </w:r>
      <w:r w:rsidR="004708AE">
        <w:rPr>
          <w:lang w:val="en-AU"/>
        </w:rPr>
        <w:instrText xml:space="preserve"> \* MERGEFORMAT </w:instrText>
      </w:r>
      <w:r w:rsidRPr="004708AE">
        <w:rPr>
          <w:lang w:val="en-AU"/>
        </w:rPr>
        <w:fldChar w:fldCharType="separate"/>
      </w:r>
      <w:r w:rsidR="003878D9" w:rsidRPr="004708AE">
        <w:rPr>
          <w:lang w:val="en-AU"/>
        </w:rPr>
        <w:t>[2]</w:t>
      </w:r>
      <w:r w:rsidRPr="004708AE">
        <w:rPr>
          <w:lang w:val="en-AU"/>
        </w:rPr>
        <w:fldChar w:fldCharType="end"/>
      </w:r>
      <w:r w:rsidRPr="004708AE">
        <w:rPr>
          <w:lang w:val="en-AU"/>
        </w:rPr>
        <w:t xml:space="preserve">, a rural macrocell scenario (RMa) is defined for deployment of 5G. While spectrum below 6 GHz is most likely to be targeted at initial deployments in rural environments, it is </w:t>
      </w:r>
      <w:r w:rsidR="00A9325E">
        <w:rPr>
          <w:lang w:val="en-AU"/>
        </w:rPr>
        <w:t>likely</w:t>
      </w:r>
      <w:r w:rsidRPr="004708AE">
        <w:rPr>
          <w:lang w:val="en-AU"/>
        </w:rPr>
        <w:t xml:space="preserve"> that higher frequencies </w:t>
      </w:r>
      <w:r w:rsidR="00A9325E">
        <w:rPr>
          <w:lang w:val="en-AU"/>
        </w:rPr>
        <w:t>will</w:t>
      </w:r>
      <w:r w:rsidRPr="004708AE">
        <w:rPr>
          <w:lang w:val="en-AU"/>
        </w:rPr>
        <w:t xml:space="preserve"> be suitable for traffic hot-spots in rural towns and villages, particularly as the demand for higher bandwidth services increases over time.</w:t>
      </w:r>
    </w:p>
    <w:p w14:paraId="2A2A390F" w14:textId="0CA0BED2" w:rsidR="00100F4A" w:rsidRPr="004708AE" w:rsidRDefault="00100F4A" w:rsidP="00A55C73">
      <w:pPr>
        <w:pStyle w:val="BodyText"/>
        <w:rPr>
          <w:lang w:val="en-AU"/>
        </w:rPr>
      </w:pPr>
      <w:r w:rsidRPr="004708AE">
        <w:rPr>
          <w:lang w:val="en-AU"/>
        </w:rPr>
        <w:t xml:space="preserve">In </w:t>
      </w:r>
      <w:r w:rsidRPr="004708AE">
        <w:t>RAN1#84bis a</w:t>
      </w:r>
      <w:r w:rsidRPr="004708AE">
        <w:rPr>
          <w:lang w:val="en-AU"/>
        </w:rPr>
        <w:t xml:space="preserve"> channel model for 3D RMa supporting up to 7 GHz carrier frequency has been agreed as a working assumption with parameters given in </w:t>
      </w:r>
      <w:r w:rsidRPr="004708AE">
        <w:rPr>
          <w:lang w:val="en-GB"/>
        </w:rPr>
        <w:t xml:space="preserve">Appendix A in R1-163909 </w:t>
      </w:r>
      <w:r w:rsidRPr="004708AE">
        <w:rPr>
          <w:lang w:val="en-GB"/>
        </w:rPr>
        <w:fldChar w:fldCharType="begin"/>
      </w:r>
      <w:r w:rsidRPr="004708AE">
        <w:rPr>
          <w:lang w:val="en-GB"/>
        </w:rPr>
        <w:instrText xml:space="preserve"> REF _Ref450659245 \r </w:instrText>
      </w:r>
      <w:r w:rsidR="004708AE">
        <w:rPr>
          <w:lang w:val="en-GB"/>
        </w:rPr>
        <w:instrText xml:space="preserve"> \* MERGEFORMAT </w:instrText>
      </w:r>
      <w:r w:rsidRPr="004708AE">
        <w:rPr>
          <w:lang w:val="en-GB"/>
        </w:rPr>
        <w:fldChar w:fldCharType="separate"/>
      </w:r>
      <w:r w:rsidRPr="004708AE">
        <w:rPr>
          <w:lang w:val="en-GB"/>
        </w:rPr>
        <w:t>[1]</w:t>
      </w:r>
      <w:r w:rsidRPr="004708AE">
        <w:rPr>
          <w:lang w:val="en-GB"/>
        </w:rPr>
        <w:fldChar w:fldCharType="end"/>
      </w:r>
      <w:r w:rsidRPr="004708AE">
        <w:rPr>
          <w:lang w:val="en-AU"/>
        </w:rPr>
        <w:t>.</w:t>
      </w:r>
    </w:p>
    <w:p w14:paraId="3011B5AB" w14:textId="1D478C1E" w:rsidR="000B0174" w:rsidRDefault="007C091B" w:rsidP="000B0174">
      <w:pPr>
        <w:pStyle w:val="BodyText"/>
        <w:rPr>
          <w:lang w:val="en-AU"/>
        </w:rPr>
      </w:pPr>
      <w:r w:rsidRPr="004708AE">
        <w:rPr>
          <w:lang w:val="en-AU"/>
        </w:rPr>
        <w:t xml:space="preserve">There is currently a lack of measurement data in higher frequencies in an RMa scenario. In this contribution, we present results from a measurement campaign in an RMa scenario at 24 GHz. </w:t>
      </w:r>
      <w:r w:rsidR="000E1D1A">
        <w:rPr>
          <w:lang w:val="en-AU"/>
        </w:rPr>
        <w:t>W</w:t>
      </w:r>
      <w:r w:rsidRPr="004708AE">
        <w:rPr>
          <w:lang w:val="en-AU"/>
        </w:rPr>
        <w:t xml:space="preserve">e find that </w:t>
      </w:r>
      <w:r w:rsidR="000B0174" w:rsidRPr="004708AE">
        <w:rPr>
          <w:lang w:val="en-AU"/>
        </w:rPr>
        <w:t>foliage loss from just one or two trees can be above 20dB</w:t>
      </w:r>
      <w:r w:rsidRPr="004708AE">
        <w:rPr>
          <w:lang w:val="en-AU"/>
        </w:rPr>
        <w:t xml:space="preserve">. </w:t>
      </w:r>
      <w:r w:rsidR="000B0174" w:rsidRPr="004708AE">
        <w:rPr>
          <w:lang w:val="en-AU"/>
        </w:rPr>
        <w:t xml:space="preserve"> </w:t>
      </w:r>
      <w:r w:rsidR="000E1D1A">
        <w:rPr>
          <w:lang w:val="en-AU"/>
        </w:rPr>
        <w:t>Average</w:t>
      </w:r>
      <w:r w:rsidR="000B0174" w:rsidRPr="004708AE">
        <w:rPr>
          <w:lang w:val="en-AU"/>
        </w:rPr>
        <w:t xml:space="preserve"> path loss</w:t>
      </w:r>
      <w:r w:rsidR="000E1D1A">
        <w:rPr>
          <w:lang w:val="en-AU"/>
        </w:rPr>
        <w:t xml:space="preserve"> and AOA spread</w:t>
      </w:r>
      <w:r w:rsidR="000B0174" w:rsidRPr="004708AE">
        <w:rPr>
          <w:lang w:val="en-AU"/>
        </w:rPr>
        <w:t xml:space="preserve"> is close to predictions from </w:t>
      </w:r>
      <w:r w:rsidR="00843824" w:rsidRPr="004708AE">
        <w:rPr>
          <w:lang w:val="en-AU"/>
        </w:rPr>
        <w:t>the RMa NLOS model in [1]</w:t>
      </w:r>
      <w:r w:rsidR="000B0174" w:rsidRPr="004708AE">
        <w:rPr>
          <w:lang w:val="en-AU"/>
        </w:rPr>
        <w:t>, indicating that this model can be extended to higher frequencies.</w:t>
      </w:r>
    </w:p>
    <w:p w14:paraId="2CC05346" w14:textId="77777777" w:rsidR="00873A8D" w:rsidRPr="004708AE" w:rsidRDefault="00873A8D" w:rsidP="000B0174">
      <w:pPr>
        <w:pStyle w:val="BodyText"/>
        <w:rPr>
          <w:lang w:val="en-AU"/>
        </w:rPr>
      </w:pPr>
    </w:p>
    <w:p w14:paraId="792B821F" w14:textId="32731BCB" w:rsidR="00CA49A0" w:rsidRPr="004708AE" w:rsidRDefault="000B0174" w:rsidP="00100F4A">
      <w:pPr>
        <w:pStyle w:val="Heading1"/>
        <w:rPr>
          <w:lang w:val="en-AU"/>
        </w:rPr>
      </w:pPr>
      <w:r w:rsidRPr="004708AE">
        <w:rPr>
          <w:lang w:val="en-AU"/>
        </w:rPr>
        <w:t xml:space="preserve"> </w:t>
      </w:r>
      <w:r w:rsidR="00262AB8" w:rsidRPr="004708AE">
        <w:rPr>
          <w:lang w:val="en-AU"/>
        </w:rPr>
        <w:t>Measurement setup</w:t>
      </w:r>
    </w:p>
    <w:p w14:paraId="152BCD8F" w14:textId="059EA49D" w:rsidR="0050346E" w:rsidRPr="004708AE" w:rsidRDefault="007C091B" w:rsidP="00CA49A0">
      <w:pPr>
        <w:pStyle w:val="BodyText"/>
        <w:rPr>
          <w:lang w:val="en-AU"/>
        </w:rPr>
      </w:pPr>
      <w:r w:rsidRPr="004708AE">
        <w:rPr>
          <w:lang w:val="en-AU"/>
        </w:rPr>
        <w:t>The measurement campaign was performed</w:t>
      </w:r>
      <w:r w:rsidR="000E1D1A">
        <w:rPr>
          <w:lang w:val="en-AU"/>
        </w:rPr>
        <w:t xml:space="preserve"> by Victoria University in collaboration with Telstra</w:t>
      </w:r>
      <w:r w:rsidRPr="004708AE">
        <w:rPr>
          <w:lang w:val="en-AU"/>
        </w:rPr>
        <w:t xml:space="preserve"> </w:t>
      </w:r>
      <w:r w:rsidR="00873A8D">
        <w:rPr>
          <w:lang w:val="en-AU"/>
        </w:rPr>
        <w:t xml:space="preserve">and Ericsson </w:t>
      </w:r>
      <w:r w:rsidRPr="004708AE">
        <w:rPr>
          <w:lang w:val="en-AU"/>
        </w:rPr>
        <w:t xml:space="preserve">in </w:t>
      </w:r>
      <w:r w:rsidR="0050346E" w:rsidRPr="004708AE">
        <w:rPr>
          <w:lang w:val="en-AU"/>
        </w:rPr>
        <w:t xml:space="preserve">and around sport fields in </w:t>
      </w:r>
      <w:r w:rsidRPr="004708AE">
        <w:rPr>
          <w:lang w:val="en-AU"/>
        </w:rPr>
        <w:t>Footscray</w:t>
      </w:r>
      <w:r w:rsidR="0050346E" w:rsidRPr="004708AE">
        <w:rPr>
          <w:lang w:val="en-AU"/>
        </w:rPr>
        <w:t xml:space="preserve"> in Melbourne, Australia. The environment was open with sparse obstructions and is considered to be a good representation of an RMa</w:t>
      </w:r>
      <w:r w:rsidR="00843824" w:rsidRPr="004708AE">
        <w:rPr>
          <w:lang w:val="en-AU"/>
        </w:rPr>
        <w:t xml:space="preserve"> NLOS</w:t>
      </w:r>
      <w:r w:rsidR="0050346E" w:rsidRPr="004708AE">
        <w:rPr>
          <w:lang w:val="en-AU"/>
        </w:rPr>
        <w:t xml:space="preserve"> scenario. </w:t>
      </w:r>
    </w:p>
    <w:p w14:paraId="4C79A8D0" w14:textId="42913C10" w:rsidR="00E0459C" w:rsidRPr="004708AE" w:rsidRDefault="0050346E" w:rsidP="00CA49A0">
      <w:pPr>
        <w:pStyle w:val="BodyText"/>
        <w:rPr>
          <w:lang w:val="en-AU"/>
        </w:rPr>
      </w:pPr>
      <w:r w:rsidRPr="004708AE">
        <w:rPr>
          <w:lang w:val="en-AU"/>
        </w:rPr>
        <w:t xml:space="preserve">A narrow-band continuous-wave transmitter was mounted at the corner of a building, transmitting into a horn antenna with ±5° beamwidth. The horn was oriented in the general direction of the measurement locations as indicated by the red arrows in Figure 1. Three receiving locations were selected at distances of 200 to </w:t>
      </w:r>
      <w:r w:rsidR="00843824" w:rsidRPr="004708AE">
        <w:rPr>
          <w:lang w:val="en-AU"/>
        </w:rPr>
        <w:t>5</w:t>
      </w:r>
      <w:r w:rsidRPr="004708AE">
        <w:rPr>
          <w:lang w:val="en-AU"/>
        </w:rPr>
        <w:t xml:space="preserve">00 m from the transmitter. </w:t>
      </w:r>
      <w:r w:rsidR="003878D9" w:rsidRPr="004708AE">
        <w:rPr>
          <w:lang w:val="en-AU"/>
        </w:rPr>
        <w:t>A</w:t>
      </w:r>
      <w:r w:rsidRPr="004708AE">
        <w:rPr>
          <w:lang w:val="en-AU"/>
        </w:rPr>
        <w:t xml:space="preserve"> horn antenna with ±10° beamwidth</w:t>
      </w:r>
      <w:r w:rsidR="003878D9" w:rsidRPr="004708AE">
        <w:rPr>
          <w:lang w:val="en-AU"/>
        </w:rPr>
        <w:t xml:space="preserve"> was used at the receiver,</w:t>
      </w:r>
      <w:r w:rsidRPr="004708AE">
        <w:rPr>
          <w:lang w:val="en-AU"/>
        </w:rPr>
        <w:t xml:space="preserve"> mounted to a robotic rotation system able to step in 7° increments in the </w:t>
      </w:r>
      <w:r w:rsidR="005A335E" w:rsidRPr="004708AE">
        <w:rPr>
          <w:lang w:val="en-AU"/>
        </w:rPr>
        <w:t>azimuth</w:t>
      </w:r>
      <w:r w:rsidRPr="004708AE">
        <w:rPr>
          <w:lang w:val="en-AU"/>
        </w:rPr>
        <w:t>.</w:t>
      </w:r>
      <w:r w:rsidR="000E1D1A">
        <w:rPr>
          <w:lang w:val="en-AU"/>
        </w:rPr>
        <w:t xml:space="preserve"> Receiver measurement bandwidth was 50 kHz.</w:t>
      </w:r>
    </w:p>
    <w:p w14:paraId="724E0070" w14:textId="77777777" w:rsidR="00E0459C" w:rsidRPr="004708AE" w:rsidRDefault="00E0459C" w:rsidP="00CA49A0">
      <w:pPr>
        <w:pStyle w:val="BodyText"/>
        <w:rPr>
          <w:lang w:val="en-AU"/>
        </w:rPr>
      </w:pPr>
      <w:r w:rsidRPr="004708AE">
        <w:rPr>
          <w:noProof/>
          <w:lang w:val="en-AU" w:eastAsia="en-AU"/>
        </w:rPr>
        <w:drawing>
          <wp:inline distT="0" distB="0" distL="0" distR="0" wp14:anchorId="4322ADD0" wp14:editId="2472EDC4">
            <wp:extent cx="5760720" cy="3998084"/>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60720" cy="3998084"/>
                    </a:xfrm>
                    <a:prstGeom prst="rect">
                      <a:avLst/>
                    </a:prstGeom>
                  </pic:spPr>
                </pic:pic>
              </a:graphicData>
            </a:graphic>
          </wp:inline>
        </w:drawing>
      </w:r>
    </w:p>
    <w:p w14:paraId="3573B077" w14:textId="77777777" w:rsidR="0050346E" w:rsidRPr="004708AE" w:rsidRDefault="0050346E" w:rsidP="0050346E">
      <w:pPr>
        <w:pStyle w:val="Caption"/>
        <w:rPr>
          <w:lang w:val="en-AU"/>
        </w:rPr>
      </w:pPr>
      <w:r w:rsidRPr="004708AE">
        <w:rPr>
          <w:lang w:val="en-AU"/>
        </w:rPr>
        <w:lastRenderedPageBreak/>
        <w:t xml:space="preserve">Figure 1. Map of transmitter and receiver locations. Red arrows indicate the orientation of the transmitting horn antenna used </w:t>
      </w:r>
      <w:r w:rsidR="008F3438" w:rsidRPr="004708AE">
        <w:rPr>
          <w:lang w:val="en-AU"/>
        </w:rPr>
        <w:t>with</w:t>
      </w:r>
      <w:r w:rsidRPr="004708AE">
        <w:rPr>
          <w:lang w:val="en-AU"/>
        </w:rPr>
        <w:t xml:space="preserve"> each measurement location.</w:t>
      </w:r>
    </w:p>
    <w:p w14:paraId="32458EBC" w14:textId="4DC97954" w:rsidR="0050346E" w:rsidRPr="004708AE" w:rsidRDefault="0050346E" w:rsidP="00CA49A0">
      <w:pPr>
        <w:pStyle w:val="BodyText"/>
        <w:rPr>
          <w:lang w:val="en-AU"/>
        </w:rPr>
      </w:pPr>
      <w:r w:rsidRPr="004708AE">
        <w:rPr>
          <w:lang w:val="en-AU"/>
        </w:rPr>
        <w:t>Two transmitters were used, mounted at different heights at the building (first and second floors). The transmitters operat</w:t>
      </w:r>
      <w:r w:rsidR="00EA392D" w:rsidRPr="004708AE">
        <w:rPr>
          <w:lang w:val="en-AU"/>
        </w:rPr>
        <w:t>ed at 24</w:t>
      </w:r>
      <w:r w:rsidRPr="004708AE">
        <w:rPr>
          <w:lang w:val="en-AU"/>
        </w:rPr>
        <w:t>.050 GHz and 24.051 GHz respectively. The heights were chosen such that the path to the</w:t>
      </w:r>
      <w:r w:rsidR="00A60F4D" w:rsidRPr="004708AE">
        <w:rPr>
          <w:lang w:val="en-AU"/>
        </w:rPr>
        <w:t xml:space="preserve"> rowing club</w:t>
      </w:r>
      <w:r w:rsidRPr="004708AE">
        <w:rPr>
          <w:lang w:val="en-AU"/>
        </w:rPr>
        <w:t xml:space="preserve"> measurement location from the first floor was obstructed by a tree near to the transmitter, while the path from the second floor </w:t>
      </w:r>
      <w:r w:rsidR="005A335E" w:rsidRPr="004708AE">
        <w:rPr>
          <w:lang w:val="en-AU"/>
        </w:rPr>
        <w:t>had a clear line of sight (</w:t>
      </w:r>
      <w:r w:rsidR="00843824" w:rsidRPr="004708AE">
        <w:rPr>
          <w:lang w:val="en-AU"/>
        </w:rPr>
        <w:t>LOS</w:t>
      </w:r>
      <w:r w:rsidR="005A335E" w:rsidRPr="004708AE">
        <w:rPr>
          <w:lang w:val="en-AU"/>
        </w:rPr>
        <w:t>) to the measurement location.</w:t>
      </w:r>
      <w:r w:rsidR="0058592B" w:rsidRPr="004708AE">
        <w:rPr>
          <w:lang w:val="en-AU"/>
        </w:rPr>
        <w:t xml:space="preserve"> Figure 2 provides a visual indication of the two different paths.</w:t>
      </w:r>
    </w:p>
    <w:p w14:paraId="3181A368" w14:textId="77777777" w:rsidR="0058592B" w:rsidRPr="004708AE" w:rsidRDefault="0058592B" w:rsidP="00CA49A0">
      <w:pPr>
        <w:pStyle w:val="BodyText"/>
        <w:rPr>
          <w:lang w:val="en-AU"/>
        </w:rPr>
      </w:pPr>
      <w:r w:rsidRPr="004708AE">
        <w:rPr>
          <w:noProof/>
          <w:lang w:val="en-AU" w:eastAsia="en-AU"/>
        </w:rPr>
        <w:drawing>
          <wp:inline distT="0" distB="0" distL="0" distR="0" wp14:anchorId="68182C93" wp14:editId="02730256">
            <wp:extent cx="4595854" cy="284272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599027" cy="2844689"/>
                    </a:xfrm>
                    <a:prstGeom prst="rect">
                      <a:avLst/>
                    </a:prstGeom>
                  </pic:spPr>
                </pic:pic>
              </a:graphicData>
            </a:graphic>
          </wp:inline>
        </w:drawing>
      </w:r>
    </w:p>
    <w:p w14:paraId="55668FD7" w14:textId="77777777" w:rsidR="0058592B" w:rsidRPr="004708AE" w:rsidRDefault="00BA68D6" w:rsidP="00BA68D6">
      <w:pPr>
        <w:pStyle w:val="Caption"/>
        <w:rPr>
          <w:lang w:val="en-AU"/>
        </w:rPr>
      </w:pPr>
      <w:r w:rsidRPr="004708AE">
        <w:rPr>
          <w:lang w:val="en-AU"/>
        </w:rPr>
        <w:t>Figure 2. Top and bottom transmitter locations providing path unobstructed / obstructed by tree</w:t>
      </w:r>
    </w:p>
    <w:p w14:paraId="5AA91ABF" w14:textId="1E435F1E" w:rsidR="00CA49A0" w:rsidRPr="004708AE" w:rsidRDefault="005A335E" w:rsidP="00CA49A0">
      <w:pPr>
        <w:pStyle w:val="BodyText"/>
        <w:rPr>
          <w:lang w:val="en-AU"/>
        </w:rPr>
      </w:pPr>
      <w:r w:rsidRPr="004708AE">
        <w:rPr>
          <w:lang w:val="en-AU"/>
        </w:rPr>
        <w:t xml:space="preserve">At each measurement location, positions were chosen that covered a range of </w:t>
      </w:r>
      <w:r w:rsidR="00843824" w:rsidRPr="004708AE">
        <w:rPr>
          <w:lang w:val="en-AU"/>
        </w:rPr>
        <w:t>LOS</w:t>
      </w:r>
      <w:r w:rsidRPr="004708AE">
        <w:rPr>
          <w:lang w:val="en-AU"/>
        </w:rPr>
        <w:t xml:space="preserve">, </w:t>
      </w:r>
      <w:r w:rsidR="00843824" w:rsidRPr="004708AE">
        <w:rPr>
          <w:lang w:val="en-AU"/>
        </w:rPr>
        <w:t>NLOS</w:t>
      </w:r>
      <w:r w:rsidRPr="004708AE">
        <w:rPr>
          <w:lang w:val="en-AU"/>
        </w:rPr>
        <w:t xml:space="preserve"> (shadowed by the building at the measurement location), outdoor and </w:t>
      </w:r>
      <w:r w:rsidR="00E200FA">
        <w:rPr>
          <w:lang w:val="en-AU"/>
        </w:rPr>
        <w:t xml:space="preserve">some </w:t>
      </w:r>
      <w:r w:rsidRPr="004708AE">
        <w:rPr>
          <w:lang w:val="en-AU"/>
        </w:rPr>
        <w:t xml:space="preserve">indoor. </w:t>
      </w:r>
      <w:r w:rsidR="008F3438" w:rsidRPr="004708AE">
        <w:rPr>
          <w:lang w:val="en-AU"/>
        </w:rPr>
        <w:t>As discussed above, the path to the lower transmitter was typically blocked by a tree.</w:t>
      </w:r>
    </w:p>
    <w:p w14:paraId="247403F4" w14:textId="77777777" w:rsidR="00FB32F8" w:rsidRPr="004708AE" w:rsidRDefault="00DB5C34" w:rsidP="00FB32F8">
      <w:pPr>
        <w:pStyle w:val="Caption"/>
        <w:rPr>
          <w:lang w:val="en-AU"/>
        </w:rPr>
      </w:pPr>
      <w:r w:rsidRPr="004708AE">
        <w:rPr>
          <w:lang w:val="en-AU"/>
        </w:rPr>
        <w:t>Table 1. Approximate d</w:t>
      </w:r>
      <w:r w:rsidR="00FB32F8" w:rsidRPr="004708AE">
        <w:rPr>
          <w:lang w:val="en-AU"/>
        </w:rPr>
        <w:t xml:space="preserve">istances to transmitter from each measurement </w:t>
      </w:r>
      <w:r w:rsidR="00BA68D6" w:rsidRPr="004708AE">
        <w:rPr>
          <w:lang w:val="en-AU"/>
        </w:rPr>
        <w:t>location</w:t>
      </w:r>
    </w:p>
    <w:tbl>
      <w:tblPr>
        <w:tblStyle w:val="LightList-Accent1"/>
        <w:tblW w:w="0" w:type="auto"/>
        <w:tblLook w:val="0420" w:firstRow="1" w:lastRow="0" w:firstColumn="0" w:lastColumn="0" w:noHBand="0" w:noVBand="1"/>
      </w:tblPr>
      <w:tblGrid>
        <w:gridCol w:w="2227"/>
        <w:gridCol w:w="1050"/>
      </w:tblGrid>
      <w:tr w:rsidR="005A335E" w:rsidRPr="004708AE" w14:paraId="756386A5" w14:textId="77777777" w:rsidTr="005A335E">
        <w:trPr>
          <w:cnfStyle w:val="100000000000" w:firstRow="1" w:lastRow="0" w:firstColumn="0" w:lastColumn="0" w:oddVBand="0" w:evenVBand="0" w:oddHBand="0" w:evenHBand="0" w:firstRowFirstColumn="0" w:firstRowLastColumn="0" w:lastRowFirstColumn="0" w:lastRowLastColumn="0"/>
        </w:trPr>
        <w:tc>
          <w:tcPr>
            <w:tcW w:w="2227" w:type="dxa"/>
            <w:vAlign w:val="center"/>
          </w:tcPr>
          <w:p w14:paraId="11C87711" w14:textId="77777777" w:rsidR="005A335E" w:rsidRPr="004708AE" w:rsidRDefault="005A335E" w:rsidP="005A335E">
            <w:pPr>
              <w:pStyle w:val="BodyText"/>
              <w:spacing w:before="60" w:after="60"/>
              <w:jc w:val="left"/>
              <w:rPr>
                <w:lang w:val="en-AU"/>
              </w:rPr>
            </w:pPr>
            <w:r w:rsidRPr="004708AE">
              <w:rPr>
                <w:lang w:val="en-AU"/>
              </w:rPr>
              <w:t>Location</w:t>
            </w:r>
          </w:p>
        </w:tc>
        <w:tc>
          <w:tcPr>
            <w:tcW w:w="1050" w:type="dxa"/>
            <w:vAlign w:val="center"/>
          </w:tcPr>
          <w:p w14:paraId="528C8F55" w14:textId="77777777" w:rsidR="005A335E" w:rsidRPr="004708AE" w:rsidRDefault="005A335E" w:rsidP="005A335E">
            <w:pPr>
              <w:pStyle w:val="BodyText"/>
              <w:spacing w:before="60" w:after="60"/>
              <w:jc w:val="left"/>
              <w:rPr>
                <w:lang w:val="en-AU"/>
              </w:rPr>
            </w:pPr>
            <w:r w:rsidRPr="004708AE">
              <w:rPr>
                <w:lang w:val="en-AU"/>
              </w:rPr>
              <w:t>Distance</w:t>
            </w:r>
          </w:p>
        </w:tc>
      </w:tr>
      <w:tr w:rsidR="005A335E" w:rsidRPr="004708AE" w14:paraId="0028B3C1" w14:textId="77777777" w:rsidTr="005A335E">
        <w:trPr>
          <w:cnfStyle w:val="000000100000" w:firstRow="0" w:lastRow="0" w:firstColumn="0" w:lastColumn="0" w:oddVBand="0" w:evenVBand="0" w:oddHBand="1" w:evenHBand="0" w:firstRowFirstColumn="0" w:firstRowLastColumn="0" w:lastRowFirstColumn="0" w:lastRowLastColumn="0"/>
        </w:trPr>
        <w:tc>
          <w:tcPr>
            <w:tcW w:w="2227" w:type="dxa"/>
            <w:vAlign w:val="center"/>
          </w:tcPr>
          <w:p w14:paraId="06314ED2" w14:textId="77777777" w:rsidR="005A335E" w:rsidRPr="004708AE" w:rsidRDefault="005A335E" w:rsidP="005A335E">
            <w:pPr>
              <w:pStyle w:val="BodyText"/>
              <w:spacing w:before="60" w:after="60"/>
              <w:jc w:val="left"/>
              <w:rPr>
                <w:lang w:val="en-AU"/>
              </w:rPr>
            </w:pPr>
            <w:r w:rsidRPr="004708AE">
              <w:rPr>
                <w:lang w:val="en-AU"/>
              </w:rPr>
              <w:t>Footscray rowing club</w:t>
            </w:r>
          </w:p>
        </w:tc>
        <w:tc>
          <w:tcPr>
            <w:tcW w:w="1050" w:type="dxa"/>
            <w:vAlign w:val="center"/>
          </w:tcPr>
          <w:p w14:paraId="2CA990E7" w14:textId="77777777" w:rsidR="005A335E" w:rsidRPr="004708AE" w:rsidRDefault="00A60F4D" w:rsidP="005A335E">
            <w:pPr>
              <w:pStyle w:val="BodyText"/>
              <w:spacing w:before="60" w:after="60"/>
              <w:jc w:val="left"/>
              <w:rPr>
                <w:lang w:val="en-AU"/>
              </w:rPr>
            </w:pPr>
            <w:r w:rsidRPr="004708AE">
              <w:rPr>
                <w:lang w:val="en-AU"/>
              </w:rPr>
              <w:t>250</w:t>
            </w:r>
            <w:r w:rsidR="005A335E" w:rsidRPr="004708AE">
              <w:rPr>
                <w:lang w:val="en-AU"/>
              </w:rPr>
              <w:t xml:space="preserve"> m</w:t>
            </w:r>
          </w:p>
        </w:tc>
      </w:tr>
      <w:tr w:rsidR="005A335E" w:rsidRPr="004708AE" w14:paraId="7F571AA2" w14:textId="77777777" w:rsidTr="005A335E">
        <w:tc>
          <w:tcPr>
            <w:tcW w:w="2227" w:type="dxa"/>
            <w:vAlign w:val="center"/>
          </w:tcPr>
          <w:p w14:paraId="3484B1AE" w14:textId="77777777" w:rsidR="005A335E" w:rsidRPr="004708AE" w:rsidRDefault="005A335E" w:rsidP="005A335E">
            <w:pPr>
              <w:pStyle w:val="BodyText"/>
              <w:spacing w:before="60" w:after="60"/>
              <w:jc w:val="left"/>
              <w:rPr>
                <w:lang w:val="en-AU"/>
              </w:rPr>
            </w:pPr>
            <w:r w:rsidRPr="004708AE">
              <w:rPr>
                <w:lang w:val="en-AU"/>
              </w:rPr>
              <w:t>Footscray cricket club</w:t>
            </w:r>
          </w:p>
        </w:tc>
        <w:tc>
          <w:tcPr>
            <w:tcW w:w="1050" w:type="dxa"/>
            <w:vAlign w:val="center"/>
          </w:tcPr>
          <w:p w14:paraId="61A12D63" w14:textId="77777777" w:rsidR="005A335E" w:rsidRPr="004708AE" w:rsidRDefault="00A60F4D" w:rsidP="005A335E">
            <w:pPr>
              <w:pStyle w:val="BodyText"/>
              <w:spacing w:before="60" w:after="60"/>
              <w:jc w:val="left"/>
              <w:rPr>
                <w:lang w:val="en-AU"/>
              </w:rPr>
            </w:pPr>
            <w:r w:rsidRPr="004708AE">
              <w:rPr>
                <w:lang w:val="en-AU"/>
              </w:rPr>
              <w:t>360</w:t>
            </w:r>
            <w:r w:rsidR="005A335E" w:rsidRPr="004708AE">
              <w:rPr>
                <w:lang w:val="en-AU"/>
              </w:rPr>
              <w:t xml:space="preserve"> m</w:t>
            </w:r>
          </w:p>
        </w:tc>
      </w:tr>
      <w:tr w:rsidR="005A335E" w:rsidRPr="004708AE" w14:paraId="4C7DE7E2" w14:textId="77777777" w:rsidTr="005A335E">
        <w:trPr>
          <w:cnfStyle w:val="000000100000" w:firstRow="0" w:lastRow="0" w:firstColumn="0" w:lastColumn="0" w:oddVBand="0" w:evenVBand="0" w:oddHBand="1" w:evenHBand="0" w:firstRowFirstColumn="0" w:firstRowLastColumn="0" w:lastRowFirstColumn="0" w:lastRowLastColumn="0"/>
        </w:trPr>
        <w:tc>
          <w:tcPr>
            <w:tcW w:w="2227" w:type="dxa"/>
            <w:vAlign w:val="center"/>
          </w:tcPr>
          <w:p w14:paraId="4BA5B9BA" w14:textId="77777777" w:rsidR="005A335E" w:rsidRPr="004708AE" w:rsidRDefault="005A335E" w:rsidP="005A335E">
            <w:pPr>
              <w:pStyle w:val="BodyText"/>
              <w:spacing w:before="60" w:after="60"/>
              <w:jc w:val="left"/>
              <w:rPr>
                <w:lang w:val="en-AU"/>
              </w:rPr>
            </w:pPr>
            <w:r w:rsidRPr="004708AE">
              <w:rPr>
                <w:lang w:val="en-AU"/>
              </w:rPr>
              <w:t>Edgewater suburbs</w:t>
            </w:r>
          </w:p>
        </w:tc>
        <w:tc>
          <w:tcPr>
            <w:tcW w:w="1050" w:type="dxa"/>
            <w:vAlign w:val="center"/>
          </w:tcPr>
          <w:p w14:paraId="2FD2FE98" w14:textId="77777777" w:rsidR="005A335E" w:rsidRPr="004708AE" w:rsidRDefault="00A60F4D" w:rsidP="005A335E">
            <w:pPr>
              <w:pStyle w:val="BodyText"/>
              <w:spacing w:before="60" w:after="60"/>
              <w:jc w:val="left"/>
              <w:rPr>
                <w:lang w:val="en-AU"/>
              </w:rPr>
            </w:pPr>
            <w:r w:rsidRPr="004708AE">
              <w:rPr>
                <w:lang w:val="en-AU"/>
              </w:rPr>
              <w:t>520</w:t>
            </w:r>
            <w:r w:rsidR="005A335E" w:rsidRPr="004708AE">
              <w:rPr>
                <w:lang w:val="en-AU"/>
              </w:rPr>
              <w:t xml:space="preserve"> m</w:t>
            </w:r>
          </w:p>
        </w:tc>
      </w:tr>
    </w:tbl>
    <w:p w14:paraId="15359AB4" w14:textId="77777777" w:rsidR="005A335E" w:rsidRPr="004708AE" w:rsidRDefault="005A335E" w:rsidP="00CA49A0">
      <w:pPr>
        <w:pStyle w:val="BodyText"/>
        <w:rPr>
          <w:lang w:val="en-AU"/>
        </w:rPr>
      </w:pPr>
    </w:p>
    <w:p w14:paraId="447C9773" w14:textId="77777777" w:rsidR="004A3F44" w:rsidRPr="004708AE" w:rsidRDefault="00262AB8" w:rsidP="004A619D">
      <w:pPr>
        <w:pStyle w:val="Heading1"/>
        <w:rPr>
          <w:lang w:val="en-AU"/>
        </w:rPr>
      </w:pPr>
      <w:r w:rsidRPr="004708AE">
        <w:rPr>
          <w:lang w:val="en-AU"/>
        </w:rPr>
        <w:t>Postprocessing</w:t>
      </w:r>
    </w:p>
    <w:p w14:paraId="7ACAE91F" w14:textId="550DE466" w:rsidR="005A335E" w:rsidRPr="004708AE" w:rsidRDefault="005A335E" w:rsidP="00FB0D7C">
      <w:pPr>
        <w:pStyle w:val="BodyText"/>
        <w:rPr>
          <w:lang w:val="en-AU"/>
        </w:rPr>
      </w:pPr>
      <w:r w:rsidRPr="004708AE">
        <w:rPr>
          <w:lang w:val="en-AU"/>
        </w:rPr>
        <w:t>At each measurement position, a set of received power measurements were collected by the measurement robot in 7° increments. Each</w:t>
      </w:r>
      <w:r w:rsidR="003878D9" w:rsidRPr="004708AE">
        <w:rPr>
          <w:lang w:val="en-AU"/>
        </w:rPr>
        <w:t xml:space="preserve"> individual</w:t>
      </w:r>
      <w:r w:rsidRPr="004708AE">
        <w:rPr>
          <w:lang w:val="en-AU"/>
        </w:rPr>
        <w:t xml:space="preserve"> measurement was taken as an average over </w:t>
      </w:r>
      <w:r w:rsidR="002D47A1" w:rsidRPr="004708AE">
        <w:rPr>
          <w:lang w:val="en-AU"/>
        </w:rPr>
        <w:t>12</w:t>
      </w:r>
      <w:r w:rsidRPr="004708AE">
        <w:rPr>
          <w:lang w:val="en-AU"/>
        </w:rPr>
        <w:t xml:space="preserve"> separate samples. </w:t>
      </w:r>
      <w:r w:rsidR="00A60F4D" w:rsidRPr="004708AE">
        <w:rPr>
          <w:lang w:val="en-AU"/>
        </w:rPr>
        <w:t>Representative samples of individual measurements are</w:t>
      </w:r>
      <w:r w:rsidR="00FB32F8" w:rsidRPr="004708AE">
        <w:rPr>
          <w:lang w:val="en-AU"/>
        </w:rPr>
        <w:t xml:space="preserve"> presented in Appendix</w:t>
      </w:r>
      <w:r w:rsidR="000E1D1A">
        <w:rPr>
          <w:lang w:val="en-AU"/>
        </w:rPr>
        <w:t xml:space="preserve"> A</w:t>
      </w:r>
      <w:r w:rsidR="00FB32F8" w:rsidRPr="004708AE">
        <w:rPr>
          <w:lang w:val="en-AU"/>
        </w:rPr>
        <w:t>.</w:t>
      </w:r>
    </w:p>
    <w:p w14:paraId="555E3C00" w14:textId="19A4BD52" w:rsidR="005A335E" w:rsidRPr="004708AE" w:rsidRDefault="00894F38" w:rsidP="00FB0D7C">
      <w:pPr>
        <w:pStyle w:val="BodyText"/>
        <w:rPr>
          <w:lang w:val="en-AU"/>
        </w:rPr>
      </w:pPr>
      <w:r w:rsidRPr="004708AE">
        <w:rPr>
          <w:lang w:val="en-AU"/>
        </w:rPr>
        <w:t xml:space="preserve">A scatter plot </w:t>
      </w:r>
      <w:r w:rsidR="00266B88" w:rsidRPr="004708AE">
        <w:rPr>
          <w:lang w:val="en-AU"/>
        </w:rPr>
        <w:t xml:space="preserve">shows the </w:t>
      </w:r>
      <w:r w:rsidRPr="004708AE">
        <w:rPr>
          <w:lang w:val="en-AU"/>
        </w:rPr>
        <w:t xml:space="preserve">measured </w:t>
      </w:r>
      <w:r w:rsidR="00266B88" w:rsidRPr="004708AE">
        <w:rPr>
          <w:lang w:val="en-AU"/>
        </w:rPr>
        <w:t xml:space="preserve">path loss compared to free-space and the </w:t>
      </w:r>
      <w:r w:rsidR="000E1D1A">
        <w:rPr>
          <w:lang w:val="en-AU"/>
        </w:rPr>
        <w:t>WF</w:t>
      </w:r>
      <w:r w:rsidR="003D1D28" w:rsidRPr="004708AE">
        <w:rPr>
          <w:lang w:val="en-AU"/>
        </w:rPr>
        <w:t xml:space="preserve"> </w:t>
      </w:r>
      <w:r w:rsidR="00E200FA">
        <w:rPr>
          <w:lang w:val="en-AU"/>
        </w:rPr>
        <w:t xml:space="preserve">RMa </w:t>
      </w:r>
      <w:r w:rsidR="00266B88" w:rsidRPr="004708AE">
        <w:rPr>
          <w:lang w:val="en-AU"/>
        </w:rPr>
        <w:t>path loss model</w:t>
      </w:r>
      <w:r w:rsidR="002D47A1" w:rsidRPr="004708AE">
        <w:rPr>
          <w:lang w:val="en-AU"/>
        </w:rPr>
        <w:t xml:space="preserve">s </w:t>
      </w:r>
      <w:r w:rsidR="000E1D1A">
        <w:rPr>
          <w:lang w:val="en-AU"/>
        </w:rPr>
        <w:t xml:space="preserve">[1] </w:t>
      </w:r>
      <w:r w:rsidR="002D47A1" w:rsidRPr="004708AE">
        <w:rPr>
          <w:lang w:val="en-AU"/>
        </w:rPr>
        <w:t xml:space="preserve">for LOS and </w:t>
      </w:r>
      <w:r w:rsidR="000E1D1A" w:rsidRPr="004708AE">
        <w:rPr>
          <w:lang w:val="en-AU"/>
        </w:rPr>
        <w:t>NLOS RMa</w:t>
      </w:r>
      <w:r w:rsidRPr="004708AE">
        <w:rPr>
          <w:lang w:val="en-AU"/>
        </w:rPr>
        <w:t xml:space="preserve"> channels </w:t>
      </w:r>
      <w:r w:rsidR="002D47A1" w:rsidRPr="004708AE">
        <w:rPr>
          <w:lang w:val="en-AU"/>
        </w:rPr>
        <w:t>(</w:t>
      </w:r>
      <w:r w:rsidR="003878D9" w:rsidRPr="004708AE">
        <w:rPr>
          <w:lang w:val="en-AU"/>
        </w:rPr>
        <w:t>Figure 3</w:t>
      </w:r>
      <w:r w:rsidR="002D47A1" w:rsidRPr="004708AE">
        <w:rPr>
          <w:lang w:val="en-AU"/>
        </w:rPr>
        <w:t>)</w:t>
      </w:r>
      <w:r w:rsidR="00FB32F8" w:rsidRPr="004708AE">
        <w:rPr>
          <w:lang w:val="en-AU"/>
        </w:rPr>
        <w:t>.</w:t>
      </w:r>
      <w:r w:rsidR="002D47A1" w:rsidRPr="004708AE">
        <w:rPr>
          <w:lang w:val="en-AU"/>
        </w:rPr>
        <w:t xml:space="preserve">  </w:t>
      </w:r>
      <w:r w:rsidR="00100F4A" w:rsidRPr="004708AE">
        <w:rPr>
          <w:lang w:val="en-AU"/>
        </w:rPr>
        <w:t xml:space="preserve">The </w:t>
      </w:r>
      <w:r w:rsidR="000E1D1A">
        <w:rPr>
          <w:lang w:val="en-AU"/>
        </w:rPr>
        <w:t>WF</w:t>
      </w:r>
      <w:r w:rsidR="00100F4A" w:rsidRPr="004708AE">
        <w:rPr>
          <w:lang w:val="en-AU"/>
        </w:rPr>
        <w:t xml:space="preserve"> RMa path loss model is stated as validated between 450 MHz and 6 GHz but here it is used at 24 GHz. </w:t>
      </w:r>
      <w:r w:rsidRPr="004708AE">
        <w:rPr>
          <w:lang w:val="en-AU"/>
        </w:rPr>
        <w:t xml:space="preserve">The free-space path loss is the top line and the RMa LOS just below it.  The two lower lines are the </w:t>
      </w:r>
      <w:r w:rsidR="00526C0E" w:rsidRPr="004708AE">
        <w:rPr>
          <w:lang w:val="en-AU"/>
        </w:rPr>
        <w:t xml:space="preserve">RMa </w:t>
      </w:r>
      <w:r w:rsidRPr="004708AE">
        <w:rPr>
          <w:lang w:val="en-AU"/>
        </w:rPr>
        <w:t>NLOS lines for Rx antenna heights of 2.8</w:t>
      </w:r>
      <w:r w:rsidR="001877C4">
        <w:rPr>
          <w:lang w:val="en-AU"/>
        </w:rPr>
        <w:t xml:space="preserve"> </w:t>
      </w:r>
      <w:r w:rsidRPr="004708AE">
        <w:rPr>
          <w:lang w:val="en-AU"/>
        </w:rPr>
        <w:t>m and 6.1</w:t>
      </w:r>
      <w:r w:rsidR="001877C4">
        <w:rPr>
          <w:lang w:val="en-AU"/>
        </w:rPr>
        <w:t xml:space="preserve"> </w:t>
      </w:r>
      <w:r w:rsidRPr="004708AE">
        <w:rPr>
          <w:lang w:val="en-AU"/>
        </w:rPr>
        <w:t xml:space="preserve">m.  All our measurement positions fell within this </w:t>
      </w:r>
      <w:r w:rsidR="00526C0E" w:rsidRPr="004708AE">
        <w:rPr>
          <w:lang w:val="en-AU"/>
        </w:rPr>
        <w:t xml:space="preserve">height </w:t>
      </w:r>
      <w:r w:rsidRPr="004708AE">
        <w:rPr>
          <w:lang w:val="en-AU"/>
        </w:rPr>
        <w:t>range</w:t>
      </w:r>
      <w:r w:rsidR="0099208F" w:rsidRPr="004708AE">
        <w:rPr>
          <w:lang w:val="en-AU"/>
        </w:rPr>
        <w:t xml:space="preserve">.  Most locations were strictly NLOS because of </w:t>
      </w:r>
      <w:r w:rsidR="00526C0E" w:rsidRPr="004708AE">
        <w:rPr>
          <w:lang w:val="en-AU"/>
        </w:rPr>
        <w:t xml:space="preserve">nearby </w:t>
      </w:r>
      <w:r w:rsidR="0099208F" w:rsidRPr="004708AE">
        <w:rPr>
          <w:lang w:val="en-AU"/>
        </w:rPr>
        <w:t xml:space="preserve">physical structures </w:t>
      </w:r>
      <w:r w:rsidR="00526C0E" w:rsidRPr="004708AE">
        <w:rPr>
          <w:lang w:val="en-AU"/>
        </w:rPr>
        <w:t xml:space="preserve">(boat club) </w:t>
      </w:r>
      <w:r w:rsidR="0099208F" w:rsidRPr="004708AE">
        <w:rPr>
          <w:lang w:val="en-AU"/>
        </w:rPr>
        <w:t xml:space="preserve">or trees. </w:t>
      </w:r>
      <w:r w:rsidR="00526C0E" w:rsidRPr="004708AE">
        <w:rPr>
          <w:lang w:val="en-AU"/>
        </w:rPr>
        <w:t xml:space="preserve"> The tree density was low, but when operating over extended ranges it is surprising what you hit.</w:t>
      </w:r>
      <w:r w:rsidR="0099208F" w:rsidRPr="004708AE">
        <w:rPr>
          <w:lang w:val="en-AU"/>
        </w:rPr>
        <w:t xml:space="preserve"> </w:t>
      </w:r>
    </w:p>
    <w:p w14:paraId="1B30C204" w14:textId="103DD931" w:rsidR="00FB32F8" w:rsidRPr="004708AE" w:rsidRDefault="001877C4" w:rsidP="00FB0D7C">
      <w:pPr>
        <w:pStyle w:val="BodyText"/>
        <w:rPr>
          <w:lang w:val="en-AU"/>
        </w:rPr>
      </w:pPr>
      <w:r w:rsidRPr="001877C4">
        <w:rPr>
          <w:lang w:val="en-AU"/>
        </w:rPr>
        <w:lastRenderedPageBreak/>
        <mc:AlternateContent>
          <mc:Choice Requires="wpg">
            <w:drawing>
              <wp:anchor distT="0" distB="0" distL="114300" distR="114300" simplePos="0" relativeHeight="251659264" behindDoc="0" locked="0" layoutInCell="1" allowOverlap="1" wp14:anchorId="21A0EEDC" wp14:editId="1D9CE986">
                <wp:simplePos x="0" y="0"/>
                <wp:positionH relativeFrom="column">
                  <wp:posOffset>5008665</wp:posOffset>
                </wp:positionH>
                <wp:positionV relativeFrom="paragraph">
                  <wp:posOffset>277633</wp:posOffset>
                </wp:positionV>
                <wp:extent cx="1240801" cy="832421"/>
                <wp:effectExtent l="0" t="0" r="0" b="0"/>
                <wp:wrapNone/>
                <wp:docPr id="19" name="Group 21"/>
                <wp:cNvGraphicFramePr/>
                <a:graphic xmlns:a="http://schemas.openxmlformats.org/drawingml/2006/main">
                  <a:graphicData uri="http://schemas.microsoft.com/office/word/2010/wordprocessingGroup">
                    <wpg:wgp>
                      <wpg:cNvGrpSpPr/>
                      <wpg:grpSpPr>
                        <a:xfrm>
                          <a:off x="0" y="0"/>
                          <a:ext cx="1240801" cy="832421"/>
                          <a:chOff x="0" y="0"/>
                          <a:chExt cx="1240801" cy="832421"/>
                        </a:xfrm>
                      </wpg:grpSpPr>
                      <wpg:grpSp>
                        <wpg:cNvPr id="20" name="Group 20"/>
                        <wpg:cNvGrpSpPr/>
                        <wpg:grpSpPr>
                          <a:xfrm>
                            <a:off x="0" y="0"/>
                            <a:ext cx="761376" cy="208280"/>
                            <a:chOff x="0" y="0"/>
                            <a:chExt cx="761376" cy="208280"/>
                          </a:xfrm>
                        </wpg:grpSpPr>
                        <wps:wsp>
                          <wps:cNvPr id="21" name="Straight Connector 21"/>
                          <wps:cNvCnPr/>
                          <wps:spPr>
                            <a:xfrm>
                              <a:off x="0" y="115416"/>
                              <a:ext cx="114300" cy="0"/>
                            </a:xfrm>
                            <a:prstGeom prst="line">
                              <a:avLst/>
                            </a:prstGeom>
                            <a:ln w="9525"/>
                          </wps:spPr>
                          <wps:style>
                            <a:lnRef idx="1">
                              <a:schemeClr val="accent1"/>
                            </a:lnRef>
                            <a:fillRef idx="0">
                              <a:schemeClr val="accent1"/>
                            </a:fillRef>
                            <a:effectRef idx="0">
                              <a:schemeClr val="accent1"/>
                            </a:effectRef>
                            <a:fontRef idx="minor">
                              <a:schemeClr val="tx1"/>
                            </a:fontRef>
                          </wps:style>
                          <wps:bodyPr/>
                        </wps:wsp>
                        <wps:wsp>
                          <wps:cNvPr id="22" name="TextBox 9"/>
                          <wps:cNvSpPr txBox="1"/>
                          <wps:spPr>
                            <a:xfrm>
                              <a:off x="69861" y="0"/>
                              <a:ext cx="691515" cy="208280"/>
                            </a:xfrm>
                            <a:prstGeom prst="rect">
                              <a:avLst/>
                            </a:prstGeom>
                            <a:noFill/>
                          </wps:spPr>
                          <wps:txbx>
                            <w:txbxContent>
                              <w:p w14:paraId="36536A3D" w14:textId="77777777" w:rsidR="001877C4" w:rsidRDefault="001877C4" w:rsidP="001877C4">
                                <w:pPr>
                                  <w:pStyle w:val="NormalWeb"/>
                                  <w:spacing w:before="0" w:beforeAutospacing="0" w:after="0" w:afterAutospacing="0"/>
                                </w:pPr>
                                <w:r>
                                  <w:rPr>
                                    <w:rFonts w:ascii="Arial" w:hAnsi="Arial" w:cs="Arial"/>
                                    <w:color w:val="000000" w:themeColor="text1"/>
                                    <w:kern w:val="24"/>
                                    <w:sz w:val="16"/>
                                    <w:szCs w:val="16"/>
                                  </w:rPr>
                                  <w:t>Free space</w:t>
                                </w:r>
                              </w:p>
                            </w:txbxContent>
                          </wps:txbx>
                          <wps:bodyPr wrap="none" rtlCol="0">
                            <a:spAutoFit/>
                          </wps:bodyPr>
                        </wps:wsp>
                      </wpg:grpSp>
                      <wpg:grpSp>
                        <wpg:cNvPr id="23" name="Group 23"/>
                        <wpg:cNvGrpSpPr/>
                        <wpg:grpSpPr>
                          <a:xfrm>
                            <a:off x="0" y="208047"/>
                            <a:ext cx="885201" cy="208280"/>
                            <a:chOff x="0" y="208047"/>
                            <a:chExt cx="885201" cy="208280"/>
                          </a:xfrm>
                        </wpg:grpSpPr>
                        <wps:wsp>
                          <wps:cNvPr id="24" name="Straight Connector 24"/>
                          <wps:cNvCnPr/>
                          <wps:spPr>
                            <a:xfrm>
                              <a:off x="0" y="323575"/>
                              <a:ext cx="114300" cy="0"/>
                            </a:xfrm>
                            <a:prstGeom prst="line">
                              <a:avLst/>
                            </a:prstGeom>
                            <a:ln w="9525">
                              <a:solidFill>
                                <a:srgbClr val="35FB4D"/>
                              </a:solidFill>
                            </a:ln>
                          </wps:spPr>
                          <wps:style>
                            <a:lnRef idx="1">
                              <a:schemeClr val="accent1"/>
                            </a:lnRef>
                            <a:fillRef idx="0">
                              <a:schemeClr val="accent1"/>
                            </a:fillRef>
                            <a:effectRef idx="0">
                              <a:schemeClr val="accent1"/>
                            </a:effectRef>
                            <a:fontRef idx="minor">
                              <a:schemeClr val="tx1"/>
                            </a:fontRef>
                          </wps:style>
                          <wps:bodyPr/>
                        </wps:wsp>
                        <wps:wsp>
                          <wps:cNvPr id="25" name="TextBox 13"/>
                          <wps:cNvSpPr txBox="1"/>
                          <wps:spPr>
                            <a:xfrm>
                              <a:off x="69861" y="208047"/>
                              <a:ext cx="815340" cy="208280"/>
                            </a:xfrm>
                            <a:prstGeom prst="rect">
                              <a:avLst/>
                            </a:prstGeom>
                            <a:noFill/>
                          </wps:spPr>
                          <wps:txbx>
                            <w:txbxContent>
                              <w:p w14:paraId="391F7955" w14:textId="77777777" w:rsidR="001877C4" w:rsidRDefault="001877C4" w:rsidP="001877C4">
                                <w:pPr>
                                  <w:pStyle w:val="NormalWeb"/>
                                  <w:spacing w:before="0" w:beforeAutospacing="0" w:after="0" w:afterAutospacing="0"/>
                                </w:pPr>
                                <w:r>
                                  <w:rPr>
                                    <w:rFonts w:ascii="Arial" w:hAnsi="Arial" w:cs="Arial"/>
                                    <w:color w:val="000000" w:themeColor="text1"/>
                                    <w:kern w:val="24"/>
                                    <w:sz w:val="16"/>
                                    <w:szCs w:val="16"/>
                                  </w:rPr>
                                  <w:t>WF RMa LOS</w:t>
                                </w:r>
                              </w:p>
                            </w:txbxContent>
                          </wps:txbx>
                          <wps:bodyPr wrap="none" rtlCol="0">
                            <a:spAutoFit/>
                          </wps:bodyPr>
                        </wps:wsp>
                      </wpg:grpSp>
                      <wpg:grpSp>
                        <wpg:cNvPr id="26" name="Group 26"/>
                        <wpg:cNvGrpSpPr/>
                        <wpg:grpSpPr>
                          <a:xfrm>
                            <a:off x="0" y="416095"/>
                            <a:ext cx="1240801" cy="208280"/>
                            <a:chOff x="0" y="416095"/>
                            <a:chExt cx="1240801" cy="208280"/>
                          </a:xfrm>
                        </wpg:grpSpPr>
                        <wps:wsp>
                          <wps:cNvPr id="27" name="Straight Connector 27"/>
                          <wps:cNvCnPr/>
                          <wps:spPr>
                            <a:xfrm>
                              <a:off x="0" y="531734"/>
                              <a:ext cx="114300" cy="0"/>
                            </a:xfrm>
                            <a:prstGeom prst="line">
                              <a:avLst/>
                            </a:prstGeom>
                            <a:ln w="952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8" name="TextBox 16"/>
                          <wps:cNvSpPr txBox="1"/>
                          <wps:spPr>
                            <a:xfrm>
                              <a:off x="69861" y="416095"/>
                              <a:ext cx="1170940" cy="208280"/>
                            </a:xfrm>
                            <a:prstGeom prst="rect">
                              <a:avLst/>
                            </a:prstGeom>
                            <a:noFill/>
                          </wps:spPr>
                          <wps:txbx>
                            <w:txbxContent>
                              <w:p w14:paraId="077E7D30" w14:textId="77777777" w:rsidR="001877C4" w:rsidRDefault="001877C4" w:rsidP="001877C4">
                                <w:pPr>
                                  <w:pStyle w:val="NormalWeb"/>
                                  <w:spacing w:before="0" w:beforeAutospacing="0" w:after="0" w:afterAutospacing="0"/>
                                </w:pPr>
                                <w:r>
                                  <w:rPr>
                                    <w:rFonts w:ascii="Arial" w:hAnsi="Arial" w:cs="Arial"/>
                                    <w:color w:val="000000" w:themeColor="text1"/>
                                    <w:kern w:val="24"/>
                                    <w:sz w:val="16"/>
                                    <w:szCs w:val="16"/>
                                  </w:rPr>
                                  <w:t>WF RMa NLOS 6.1 m</w:t>
                                </w:r>
                              </w:p>
                            </w:txbxContent>
                          </wps:txbx>
                          <wps:bodyPr wrap="none" rtlCol="0">
                            <a:spAutoFit/>
                          </wps:bodyPr>
                        </wps:wsp>
                      </wpg:grpSp>
                      <wpg:grpSp>
                        <wpg:cNvPr id="29" name="Group 29"/>
                        <wpg:cNvGrpSpPr/>
                        <wpg:grpSpPr>
                          <a:xfrm>
                            <a:off x="0" y="624141"/>
                            <a:ext cx="1240801" cy="208280"/>
                            <a:chOff x="0" y="624141"/>
                            <a:chExt cx="1240801" cy="208280"/>
                          </a:xfrm>
                        </wpg:grpSpPr>
                        <wps:wsp>
                          <wps:cNvPr id="30" name="Straight Connector 30"/>
                          <wps:cNvCnPr/>
                          <wps:spPr>
                            <a:xfrm>
                              <a:off x="0" y="739892"/>
                              <a:ext cx="11430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 name="TextBox 19"/>
                          <wps:cNvSpPr txBox="1"/>
                          <wps:spPr>
                            <a:xfrm>
                              <a:off x="69861" y="624141"/>
                              <a:ext cx="1170940" cy="208280"/>
                            </a:xfrm>
                            <a:prstGeom prst="rect">
                              <a:avLst/>
                            </a:prstGeom>
                            <a:noFill/>
                          </wps:spPr>
                          <wps:txbx>
                            <w:txbxContent>
                              <w:p w14:paraId="1A953C9B" w14:textId="77777777" w:rsidR="001877C4" w:rsidRDefault="001877C4" w:rsidP="001877C4">
                                <w:pPr>
                                  <w:pStyle w:val="NormalWeb"/>
                                  <w:spacing w:before="0" w:beforeAutospacing="0" w:after="0" w:afterAutospacing="0"/>
                                </w:pPr>
                                <w:r>
                                  <w:rPr>
                                    <w:rFonts w:ascii="Arial" w:hAnsi="Arial" w:cs="Arial"/>
                                    <w:color w:val="000000" w:themeColor="text1"/>
                                    <w:kern w:val="24"/>
                                    <w:sz w:val="16"/>
                                    <w:szCs w:val="16"/>
                                  </w:rPr>
                                  <w:t>WF RMa NLOS 2.8 m</w:t>
                                </w:r>
                              </w:p>
                            </w:txbxContent>
                          </wps:txbx>
                          <wps:bodyPr wrap="none" rtlCol="0">
                            <a:spAutoFit/>
                          </wps:bodyPr>
                        </wps:wsp>
                      </wpg:grpSp>
                    </wpg:wgp>
                  </a:graphicData>
                </a:graphic>
              </wp:anchor>
            </w:drawing>
          </mc:Choice>
          <mc:Fallback>
            <w:pict>
              <v:group w14:anchorId="21A0EEDC" id="Group 21" o:spid="_x0000_s1026" style="position:absolute;left:0;text-align:left;margin-left:394.4pt;margin-top:21.85pt;width:97.7pt;height:65.55pt;z-index:251659264" coordsize="12408,8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">
                <v:group id="Group 20" o:spid="_x0000_s1027" style="position:absolute;width:7613;height:2082" coordsize="7613,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line id="Straight Connector 21" o:spid="_x0000_s1028" style="position:absolute;visibility:visible;mso-wrap-style:square" from="0,1154" to="1143,1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ySvsQAAADbAAAADwAAAGRycy9kb3ducmV2LnhtbESPUWvCQBCE34X+h2MLvunFFEWjp0ih&#10;ILYvtf6ANbdNgrm99G6rsb/eKxT6OMzMN8xq07tWXSjExrOByTgDRVx623Bl4PjxMpqDioJssfVM&#10;Bm4UYbN+GKywsP7K73Q5SKUShGOBBmqRrtA6ljU5jGPfESfv0weHkmSotA14TXDX6jzLZtphw2mh&#10;xo6eayrPh29n4Ov1bRdvpzaX2fRnfw7b+UKeojHDx367BCXUy3/4r72zBvIJ/H5JP0Cv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3JK+xAAAANsAAAAPAAAAAAAAAAAA&#10;AAAAAKECAABkcnMvZG93bnJldi54bWxQSwUGAAAAAAQABAD5AAAAkgMAAAAA&#10;" strokecolor="#4579b8 [3044]"/>
                  <v:shapetype id="_x0000_t202" coordsize="21600,21600" o:spt="202" path="m,l,21600r21600,l21600,xe">
                    <v:stroke joinstyle="miter"/>
                    <v:path gradientshapeok="t" o:connecttype="rect"/>
                  </v:shapetype>
                  <v:shape id="TextBox 9" o:spid="_x0000_s1029" type="#_x0000_t202" style="position:absolute;left:698;width:6915;height:208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LisMA&#10;AADbAAAADwAAAGRycy9kb3ducmV2LnhtbESP0WrCQBRE34X+w3KFvukmoRWNbqRoC33TWj/gkr1m&#10;Y7J3Q3bVtF/vFgo+DjNzhlmtB9uKK/W+dqwgnSYgiEuna64UHL8/JnMQPiBrbB2Tgh/ysC6eRivM&#10;tbvxF10PoRIRwj5HBSaELpfSl4Ys+qnriKN3cr3FEGVfSd3jLcJtK7MkmUmLNccFgx1tDJXN4WIV&#10;zBO7a5pFtvf25Td9NZute+/OSj2Ph7cliEBDeIT/259aQZbB35f4A2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ILisMAAADbAAAADwAAAAAAAAAAAAAAAACYAgAAZHJzL2Rv&#10;d25yZXYueG1sUEsFBgAAAAAEAAQA9QAAAIgDAAAAAA==&#10;" filled="f" stroked="f">
                    <v:textbox style="mso-fit-shape-to-text:t">
                      <w:txbxContent>
                        <w:p w14:paraId="36536A3D" w14:textId="77777777" w:rsidR="001877C4" w:rsidRDefault="001877C4" w:rsidP="001877C4">
                          <w:pPr>
                            <w:pStyle w:val="NormalWeb"/>
                            <w:spacing w:before="0" w:beforeAutospacing="0" w:after="0" w:afterAutospacing="0"/>
                          </w:pPr>
                          <w:r>
                            <w:rPr>
                              <w:rFonts w:ascii="Arial" w:hAnsi="Arial" w:cs="Arial"/>
                              <w:color w:val="000000" w:themeColor="text1"/>
                              <w:kern w:val="24"/>
                              <w:sz w:val="16"/>
                              <w:szCs w:val="16"/>
                            </w:rPr>
                            <w:t>Free space</w:t>
                          </w:r>
                        </w:p>
                      </w:txbxContent>
                    </v:textbox>
                  </v:shape>
                </v:group>
                <v:group id="Group 23" o:spid="_x0000_s1030" style="position:absolute;top:2080;width:8852;height:2083" coordorigin=",2080" coordsize="8852,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line id="Straight Connector 24" o:spid="_x0000_s1031" style="position:absolute;visibility:visible;mso-wrap-style:square" from="0,3235" to="1143,3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vcxMUAAADbAAAADwAAAGRycy9kb3ducmV2LnhtbESPT2vCQBTE7wW/w/IEb3VjECmpq6g0&#10;qAeh/jnU2yP7moRm34bsNonf3hUEj8PM/IaZL3tTiZYaV1pWMBlHIIgzq0vOFVzO6fsHCOeRNVaW&#10;ScGNHCwXg7c5Jtp2fKT25HMRIOwSVFB4XydSuqwgg25sa+Lg/drGoA+yyaVusAtwU8k4imbSYMlh&#10;ocCaNgVlf6d/o+Aqf9bp4ZJeD/j9tY3b9Wofd7lSo2G/+gThqfev8LO90wriKTy+hB8gF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7vcxMUAAADbAAAADwAAAAAAAAAA&#10;AAAAAAChAgAAZHJzL2Rvd25yZXYueG1sUEsFBgAAAAAEAAQA+QAAAJMDAAAAAA==&#10;" strokecolor="#35fb4d"/>
                  <v:shape id="TextBox 13" o:spid="_x0000_s1032" type="#_x0000_t202" style="position:absolute;left:698;top:2080;width:815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uT/sQA&#10;AADbAAAADwAAAGRycy9kb3ducmV2LnhtbESP0WrCQBRE3wv9h+UW+lY3CbVodCPFWvDNNvoBl+w1&#10;G5O9G7Krpn69Wyj0cZiZM8xyNdpOXGjwjWMF6SQBQVw53XCt4LD/fJmB8AFZY+eYFPyQh1Xx+LDE&#10;XLsrf9OlDLWIEPY5KjAh9LmUvjJk0U9cTxy9oxsshiiHWuoBrxFuO5klyZu02HBcMNjT2lDVlmer&#10;YJbYXdvOsy9vX2/p1Kw/3KY/KfX8NL4vQAQaw3/4r73VCrIp/H6JP0AW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bk/7EAAAA2wAAAA8AAAAAAAAAAAAAAAAAmAIAAGRycy9k&#10;b3ducmV2LnhtbFBLBQYAAAAABAAEAPUAAACJAwAAAAA=&#10;" filled="f" stroked="f">
                    <v:textbox style="mso-fit-shape-to-text:t">
                      <w:txbxContent>
                        <w:p w14:paraId="391F7955" w14:textId="77777777" w:rsidR="001877C4" w:rsidRDefault="001877C4" w:rsidP="001877C4">
                          <w:pPr>
                            <w:pStyle w:val="NormalWeb"/>
                            <w:spacing w:before="0" w:beforeAutospacing="0" w:after="0" w:afterAutospacing="0"/>
                          </w:pPr>
                          <w:r>
                            <w:rPr>
                              <w:rFonts w:ascii="Arial" w:hAnsi="Arial" w:cs="Arial"/>
                              <w:color w:val="000000" w:themeColor="text1"/>
                              <w:kern w:val="24"/>
                              <w:sz w:val="16"/>
                              <w:szCs w:val="16"/>
                            </w:rPr>
                            <w:t>WF RMa LOS</w:t>
                          </w:r>
                        </w:p>
                      </w:txbxContent>
                    </v:textbox>
                  </v:shape>
                </v:group>
                <v:group id="Group 26" o:spid="_x0000_s1033" style="position:absolute;top:4160;width:12408;height:2083" coordorigin=",4160" coordsize="12408,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line id="Straight Connector 27" o:spid="_x0000_s1034" style="position:absolute;visibility:visible;mso-wrap-style:square" from="0,5317" to="1143,5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J7OsQAAADbAAAADwAAAGRycy9kb3ducmV2LnhtbESPQWvCQBSE7wX/w/IEb80mHtoSs4oE&#10;hJJLbVTa4yP7TKLZtyG7jfHfu4VCj8PMfMNkm8l0YqTBtZYVJFEMgriyuuVawfGwe34D4Tyyxs4y&#10;KbiTg8169pRhqu2NP2ksfS0ChF2KChrv+1RKVzVk0EW2Jw7e2Q4GfZBDLfWAtwA3nVzG8Ys02HJY&#10;aLCnvKHqWv4YBd+HS/GVl2NxjHvpTFskH/vxpNRiPm1XIDxN/j/8137XCpav8Psl/AC5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Ins6xAAAANsAAAAPAAAAAAAAAAAA&#10;AAAAAKECAABkcnMvZG93bnJldi54bWxQSwUGAAAAAAQABAD5AAAAkgMAAAAA&#10;" strokecolor="red"/>
                  <v:shape id="TextBox 16" o:spid="_x0000_s1035" type="#_x0000_t202" style="position:absolute;left:698;top:4160;width:11710;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o8YL8A&#10;AADbAAAADwAAAGRycy9kb3ducmV2LnhtbERPy4rCMBTdC/5DuII7TS2OOB2jiA+Yna/5gEtzp6lt&#10;bkoTtfr1ZjEwy8N5L1adrcWdWl86VjAZJyCIc6dLLhT8XPajOQgfkDXWjknBkzyslv3eAjPtHnyi&#10;+zkUIoawz1CBCaHJpPS5IYt+7BriyP261mKIsC2kbvERw20t0ySZSYslxwaDDW0M5dX5ZhXME3uo&#10;qs/06O30Nfkwm63bNVelhoNu/QUiUBf+xX/ub60gjWPjl/gD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WjxgvwAAANsAAAAPAAAAAAAAAAAAAAAAAJgCAABkcnMvZG93bnJl&#10;di54bWxQSwUGAAAAAAQABAD1AAAAhAMAAAAA&#10;" filled="f" stroked="f">
                    <v:textbox style="mso-fit-shape-to-text:t">
                      <w:txbxContent>
                        <w:p w14:paraId="077E7D30" w14:textId="77777777" w:rsidR="001877C4" w:rsidRDefault="001877C4" w:rsidP="001877C4">
                          <w:pPr>
                            <w:pStyle w:val="NormalWeb"/>
                            <w:spacing w:before="0" w:beforeAutospacing="0" w:after="0" w:afterAutospacing="0"/>
                          </w:pPr>
                          <w:r>
                            <w:rPr>
                              <w:rFonts w:ascii="Arial" w:hAnsi="Arial" w:cs="Arial"/>
                              <w:color w:val="000000" w:themeColor="text1"/>
                              <w:kern w:val="24"/>
                              <w:sz w:val="16"/>
                              <w:szCs w:val="16"/>
                            </w:rPr>
                            <w:t>WF RMa NLOS 6.1 m</w:t>
                          </w:r>
                        </w:p>
                      </w:txbxContent>
                    </v:textbox>
                  </v:shape>
                </v:group>
                <v:group id="Group 29" o:spid="_x0000_s1036" style="position:absolute;top:6241;width:12408;height:2083" coordorigin=",6241" coordsize="12408,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line id="Straight Connector 30" o:spid="_x0000_s1037" style="position:absolute;visibility:visible;mso-wrap-style:square" from="0,7398" to="1143,7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7ZWMIAAADbAAAADwAAAGRycy9kb3ducmV2LnhtbERPy2rCQBTdF/yH4Qru6kRLjURHCYJQ&#10;21V94PaSuSbRzJ0wM8a0X99ZFFweznu57k0jOnK+tqxgMk5AEBdW11wqOB62r3MQPiBrbCyTgh/y&#10;sF4NXpaYafvgb+r2oRQxhH2GCqoQ2kxKX1Rk0I9tSxy5i3UGQ4SulNrhI4abRk6TZCYN1hwbKmxp&#10;U1Fx29+NgnnxeXV5mu8m76c2/e2mX7PtOVVqNOzzBYhAfXiK/90fWsFbXB+/xB8gV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f7ZWMIAAADbAAAADwAAAAAAAAAAAAAA&#10;AAChAgAAZHJzL2Rvd25yZXYueG1sUEsFBgAAAAAEAAQA+QAAAJADAAAAAA==&#10;" strokecolor="black [3213]"/>
                  <v:shape id="TextBox 19" o:spid="_x0000_s1038" type="#_x0000_t202" style="position:absolute;left:698;top:6241;width:11710;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DIMMA&#10;AADbAAAADwAAAGRycy9kb3ducmV2LnhtbESPwW7CMBBE75X4B2uRuIEToAgCBiFaJG5tgQ9YxUsc&#10;Eq+j2IW0X18jIfU4mpk3mtWms7W4UetLxwrSUQKCOHe65ELB+bQfzkH4gKyxdkwKfsjDZt17WWGm&#10;3Z2/6HYMhYgQ9hkqMCE0mZQ+N2TRj1xDHL2Lay2GKNtC6hbvEW5rOU6SmbRYclww2NDOUF4dv62C&#10;eWI/qmox/vR2+pu+mt2be2+uSg363XYJIlAX/sPP9kErmKT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kDIMMAAADbAAAADwAAAAAAAAAAAAAAAACYAgAAZHJzL2Rv&#10;d25yZXYueG1sUEsFBgAAAAAEAAQA9QAAAIgDAAAAAA==&#10;" filled="f" stroked="f">
                    <v:textbox style="mso-fit-shape-to-text:t">
                      <w:txbxContent>
                        <w:p w14:paraId="1A953C9B" w14:textId="77777777" w:rsidR="001877C4" w:rsidRDefault="001877C4" w:rsidP="001877C4">
                          <w:pPr>
                            <w:pStyle w:val="NormalWeb"/>
                            <w:spacing w:before="0" w:beforeAutospacing="0" w:after="0" w:afterAutospacing="0"/>
                          </w:pPr>
                          <w:r>
                            <w:rPr>
                              <w:rFonts w:ascii="Arial" w:hAnsi="Arial" w:cs="Arial"/>
                              <w:color w:val="000000" w:themeColor="text1"/>
                              <w:kern w:val="24"/>
                              <w:sz w:val="16"/>
                              <w:szCs w:val="16"/>
                            </w:rPr>
                            <w:t>WF RMa NLOS 2.8 m</w:t>
                          </w:r>
                        </w:p>
                      </w:txbxContent>
                    </v:textbox>
                  </v:shape>
                </v:group>
              </v:group>
            </w:pict>
          </mc:Fallback>
        </mc:AlternateContent>
      </w:r>
      <w:r w:rsidR="00894F38" w:rsidRPr="004708AE">
        <w:rPr>
          <w:noProof/>
          <w:lang w:val="en-AU" w:eastAsia="en-AU"/>
        </w:rPr>
        <w:drawing>
          <wp:inline distT="0" distB="0" distL="0" distR="0" wp14:anchorId="112D452F" wp14:editId="2FC1DB1C">
            <wp:extent cx="5366865" cy="217360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6182" t="1" r="-1" b="49366"/>
                    <a:stretch/>
                  </pic:blipFill>
                  <pic:spPr bwMode="auto">
                    <a:xfrm>
                      <a:off x="0" y="0"/>
                      <a:ext cx="5404608" cy="2188891"/>
                    </a:xfrm>
                    <a:prstGeom prst="rect">
                      <a:avLst/>
                    </a:prstGeom>
                    <a:noFill/>
                    <a:ln>
                      <a:noFill/>
                    </a:ln>
                    <a:extLst>
                      <a:ext uri="{53640926-AAD7-44D8-BBD7-CCE9431645EC}">
                        <a14:shadowObscured xmlns:a14="http://schemas.microsoft.com/office/drawing/2010/main"/>
                      </a:ext>
                    </a:extLst>
                  </pic:spPr>
                </pic:pic>
              </a:graphicData>
            </a:graphic>
          </wp:inline>
        </w:drawing>
      </w:r>
    </w:p>
    <w:p w14:paraId="5E362B7E" w14:textId="2FA2417C" w:rsidR="00763123" w:rsidRPr="00763123" w:rsidRDefault="003878D9" w:rsidP="00763123">
      <w:pPr>
        <w:pStyle w:val="Caption"/>
        <w:rPr>
          <w:lang w:val="en-AU"/>
        </w:rPr>
      </w:pPr>
      <w:r w:rsidRPr="004708AE">
        <w:rPr>
          <w:lang w:val="en-AU"/>
        </w:rPr>
        <w:t>Figure 3</w:t>
      </w:r>
      <w:r w:rsidR="00894F38" w:rsidRPr="004708AE">
        <w:rPr>
          <w:lang w:val="en-AU"/>
        </w:rPr>
        <w:t>.  Path gai</w:t>
      </w:r>
      <w:r w:rsidR="002D47A1" w:rsidRPr="004708AE">
        <w:rPr>
          <w:lang w:val="en-AU"/>
        </w:rPr>
        <w:t>ns for all locations.  LHS with Tx antenna at 16.2m and RHS Tx antenna at 11.8m</w:t>
      </w:r>
    </w:p>
    <w:p w14:paraId="7F4B0491" w14:textId="62366B1F" w:rsidR="00325145" w:rsidRPr="004708AE" w:rsidRDefault="00325145" w:rsidP="00FB0D7C">
      <w:pPr>
        <w:pStyle w:val="BodyText"/>
        <w:rPr>
          <w:lang w:val="en-AU"/>
        </w:rPr>
      </w:pPr>
      <w:r w:rsidRPr="004708AE">
        <w:rPr>
          <w:lang w:val="en-AU"/>
        </w:rPr>
        <w:t>To gain insight into the attenuation caused by foliage, a</w:t>
      </w:r>
      <w:r w:rsidR="00FB32F8" w:rsidRPr="004708AE">
        <w:rPr>
          <w:lang w:val="en-AU"/>
        </w:rPr>
        <w:t xml:space="preserve"> comparative analysis of the difference in path loss observed from the two transmitter locations </w:t>
      </w:r>
      <w:r w:rsidRPr="004708AE">
        <w:rPr>
          <w:lang w:val="en-AU"/>
        </w:rPr>
        <w:t xml:space="preserve">was carried out, as shown in Figure </w:t>
      </w:r>
      <w:r w:rsidR="003878D9" w:rsidRPr="004708AE">
        <w:rPr>
          <w:lang w:val="en-AU"/>
        </w:rPr>
        <w:t>4</w:t>
      </w:r>
      <w:r w:rsidRPr="004708AE">
        <w:rPr>
          <w:lang w:val="en-AU"/>
        </w:rPr>
        <w:t>.</w:t>
      </w:r>
      <w:r w:rsidR="0099208F" w:rsidRPr="004708AE">
        <w:rPr>
          <w:lang w:val="en-AU"/>
        </w:rPr>
        <w:t xml:space="preserve">  The upper transmitter (htx</w:t>
      </w:r>
      <w:r w:rsidR="00873A8D">
        <w:rPr>
          <w:lang w:val="en-AU"/>
        </w:rPr>
        <w:t xml:space="preserve"> </w:t>
      </w:r>
      <w:r w:rsidR="0099208F" w:rsidRPr="004708AE">
        <w:rPr>
          <w:lang w:val="en-AU"/>
        </w:rPr>
        <w:t>=</w:t>
      </w:r>
      <w:r w:rsidR="00873A8D">
        <w:rPr>
          <w:lang w:val="en-AU"/>
        </w:rPr>
        <w:t xml:space="preserve"> </w:t>
      </w:r>
      <w:r w:rsidR="0099208F" w:rsidRPr="004708AE">
        <w:rPr>
          <w:lang w:val="en-AU"/>
        </w:rPr>
        <w:t xml:space="preserve">16.2) generally experiences much less attenuation due to foliage. </w:t>
      </w:r>
      <w:r w:rsidR="00526C0E" w:rsidRPr="004708AE">
        <w:rPr>
          <w:lang w:val="en-AU"/>
        </w:rPr>
        <w:t xml:space="preserve"> </w:t>
      </w:r>
      <w:r w:rsidR="00EF329C" w:rsidRPr="004708AE">
        <w:rPr>
          <w:lang w:val="en-AU"/>
        </w:rPr>
        <w:t xml:space="preserve">Omni curves measure signals from all directions, and therefore collect more power than when receiving in the peak direction only.   </w:t>
      </w:r>
      <w:r w:rsidR="00526C0E" w:rsidRPr="004708AE">
        <w:rPr>
          <w:lang w:val="en-AU"/>
        </w:rPr>
        <w:t xml:space="preserve">The CDF plots show the </w:t>
      </w:r>
      <w:r w:rsidR="00F465A0" w:rsidRPr="004708AE">
        <w:rPr>
          <w:lang w:val="en-AU"/>
        </w:rPr>
        <w:t>additional shadowing loss is about 7.5</w:t>
      </w:r>
      <w:r w:rsidR="001877C4">
        <w:rPr>
          <w:lang w:val="en-AU"/>
        </w:rPr>
        <w:t xml:space="preserve"> </w:t>
      </w:r>
      <w:r w:rsidR="00F465A0" w:rsidRPr="004708AE">
        <w:rPr>
          <w:lang w:val="en-AU"/>
        </w:rPr>
        <w:t>dB (Omni) and a little less for the Peak</w:t>
      </w:r>
      <w:r w:rsidR="00EF329C" w:rsidRPr="004708AE">
        <w:rPr>
          <w:lang w:val="en-AU"/>
        </w:rPr>
        <w:t xml:space="preserve"> power scenario.</w:t>
      </w:r>
      <w:r w:rsidR="001877C4">
        <w:rPr>
          <w:lang w:val="en-AU"/>
        </w:rPr>
        <w:t xml:space="preserve">  Some individual measurement locations </w:t>
      </w:r>
      <w:r w:rsidR="00E200FA">
        <w:rPr>
          <w:lang w:val="en-AU"/>
        </w:rPr>
        <w:t xml:space="preserve">showed </w:t>
      </w:r>
      <w:r w:rsidR="001877C4">
        <w:rPr>
          <w:lang w:val="en-AU"/>
        </w:rPr>
        <w:t>differences as large as 20 dB.</w:t>
      </w:r>
    </w:p>
    <w:p w14:paraId="7BFB3D09" w14:textId="77777777" w:rsidR="00325145" w:rsidRPr="004708AE" w:rsidRDefault="00BA178C" w:rsidP="00FB0D7C">
      <w:pPr>
        <w:pStyle w:val="BodyText"/>
        <w:rPr>
          <w:lang w:val="en-AU"/>
        </w:rPr>
      </w:pPr>
      <w:r w:rsidRPr="004708AE">
        <w:rPr>
          <w:noProof/>
          <w:lang w:val="en-AU" w:eastAsia="en-AU"/>
        </w:rPr>
        <w:drawing>
          <wp:inline distT="0" distB="0" distL="0" distR="0" wp14:anchorId="41ED292F" wp14:editId="4251C844">
            <wp:extent cx="5722072" cy="2163600"/>
            <wp:effectExtent l="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t="2" b="49612"/>
                    <a:stretch/>
                  </pic:blipFill>
                  <pic:spPr bwMode="auto">
                    <a:xfrm>
                      <a:off x="0" y="0"/>
                      <a:ext cx="5760719" cy="2178213"/>
                    </a:xfrm>
                    <a:prstGeom prst="rect">
                      <a:avLst/>
                    </a:prstGeom>
                    <a:noFill/>
                    <a:ln>
                      <a:noFill/>
                    </a:ln>
                    <a:extLst>
                      <a:ext uri="{53640926-AAD7-44D8-BBD7-CCE9431645EC}">
                        <a14:shadowObscured xmlns:a14="http://schemas.microsoft.com/office/drawing/2010/main"/>
                      </a:ext>
                    </a:extLst>
                  </pic:spPr>
                </pic:pic>
              </a:graphicData>
            </a:graphic>
          </wp:inline>
        </w:drawing>
      </w:r>
    </w:p>
    <w:p w14:paraId="706186F7" w14:textId="77777777" w:rsidR="00325145" w:rsidRPr="004708AE" w:rsidRDefault="00325145" w:rsidP="00325145">
      <w:pPr>
        <w:pStyle w:val="Caption"/>
        <w:rPr>
          <w:lang w:val="en-AU"/>
        </w:rPr>
      </w:pPr>
      <w:r w:rsidRPr="004708AE">
        <w:rPr>
          <w:lang w:val="en-AU"/>
        </w:rPr>
        <w:t xml:space="preserve">Figure </w:t>
      </w:r>
      <w:r w:rsidR="003878D9" w:rsidRPr="004708AE">
        <w:rPr>
          <w:lang w:val="en-AU"/>
        </w:rPr>
        <w:t>4</w:t>
      </w:r>
      <w:r w:rsidRPr="004708AE">
        <w:rPr>
          <w:lang w:val="en-AU"/>
        </w:rPr>
        <w:t xml:space="preserve">. </w:t>
      </w:r>
      <w:r w:rsidR="00BA178C" w:rsidRPr="004708AE">
        <w:rPr>
          <w:lang w:val="en-AU"/>
        </w:rPr>
        <w:t xml:space="preserve">Additional loss beyond free space. </w:t>
      </w:r>
      <w:r w:rsidRPr="004708AE">
        <w:rPr>
          <w:lang w:val="en-AU"/>
        </w:rPr>
        <w:t>Difference in path loss observed between the two transmitter locations</w:t>
      </w:r>
      <w:r w:rsidR="00BA178C" w:rsidRPr="004708AE">
        <w:rPr>
          <w:lang w:val="en-AU"/>
        </w:rPr>
        <w:t>, primarily caused by trees.</w:t>
      </w:r>
    </w:p>
    <w:p w14:paraId="6883A5F1" w14:textId="7EF6C8D9" w:rsidR="00FB32F8" w:rsidRPr="004708AE" w:rsidRDefault="00526C0E" w:rsidP="00FB0D7C">
      <w:pPr>
        <w:pStyle w:val="BodyText"/>
        <w:rPr>
          <w:lang w:val="en-AU"/>
        </w:rPr>
      </w:pPr>
      <w:r w:rsidRPr="004708AE">
        <w:rPr>
          <w:lang w:val="en-AU"/>
        </w:rPr>
        <w:t>The measurement of angular spread was limited by the 20</w:t>
      </w:r>
      <w:r w:rsidR="00AD1801" w:rsidRPr="004708AE">
        <w:rPr>
          <w:lang w:val="en-AU"/>
        </w:rPr>
        <w:t xml:space="preserve">° </w:t>
      </w:r>
      <w:r w:rsidRPr="004708AE">
        <w:rPr>
          <w:lang w:val="en-AU"/>
        </w:rPr>
        <w:t xml:space="preserve">half power bandwidth of the measuring horn antenna. </w:t>
      </w:r>
      <w:r w:rsidR="000E1D1A">
        <w:rPr>
          <w:lang w:val="en-AU"/>
        </w:rPr>
        <w:t>A</w:t>
      </w:r>
      <w:r w:rsidRPr="004708AE">
        <w:rPr>
          <w:lang w:val="en-AU"/>
        </w:rPr>
        <w:t xml:space="preserve"> </w:t>
      </w:r>
      <w:r w:rsidR="00F465A0" w:rsidRPr="004708AE">
        <w:rPr>
          <w:lang w:val="en-AU"/>
        </w:rPr>
        <w:t xml:space="preserve">CDF of the rms </w:t>
      </w:r>
      <w:r w:rsidR="00100F4A" w:rsidRPr="004708AE">
        <w:rPr>
          <w:lang w:val="en-AU"/>
        </w:rPr>
        <w:t xml:space="preserve">azimuth angle of arrival </w:t>
      </w:r>
      <w:r w:rsidR="000E1D1A">
        <w:rPr>
          <w:lang w:val="en-AU"/>
        </w:rPr>
        <w:t xml:space="preserve">(AOA) </w:t>
      </w:r>
      <w:r w:rsidR="00F465A0" w:rsidRPr="004708AE">
        <w:rPr>
          <w:lang w:val="en-AU"/>
        </w:rPr>
        <w:t>spread is shown in Fig</w:t>
      </w:r>
      <w:r w:rsidR="000E1D1A">
        <w:rPr>
          <w:lang w:val="en-AU"/>
        </w:rPr>
        <w:t>ure</w:t>
      </w:r>
      <w:r w:rsidR="00F465A0" w:rsidRPr="004708AE">
        <w:rPr>
          <w:lang w:val="en-AU"/>
        </w:rPr>
        <w:t xml:space="preserve"> 5</w:t>
      </w:r>
      <w:r w:rsidR="00E67D83" w:rsidRPr="004708AE">
        <w:rPr>
          <w:lang w:val="en-AU"/>
        </w:rPr>
        <w:t xml:space="preserve">.  Only a few positions have a </w:t>
      </w:r>
      <w:r w:rsidR="000E1D1A">
        <w:rPr>
          <w:lang w:val="en-AU"/>
        </w:rPr>
        <w:t>strongly</w:t>
      </w:r>
      <w:r w:rsidR="00E67D83" w:rsidRPr="004708AE">
        <w:rPr>
          <w:lang w:val="en-AU"/>
        </w:rPr>
        <w:t xml:space="preserve"> directional </w:t>
      </w:r>
      <w:r w:rsidR="00FD0F5C" w:rsidRPr="004708AE">
        <w:rPr>
          <w:lang w:val="en-AU"/>
        </w:rPr>
        <w:t xml:space="preserve">component.  Many locations were shadowed and had angular spreads close to the uniform value of 180/pi degrees. </w:t>
      </w:r>
      <w:r w:rsidR="00100F4A" w:rsidRPr="004708AE">
        <w:rPr>
          <w:lang w:val="en-AU"/>
        </w:rPr>
        <w:t xml:space="preserve">For comparison, </w:t>
      </w:r>
      <w:r w:rsidR="000E1D1A">
        <w:rPr>
          <w:lang w:val="en-AU"/>
        </w:rPr>
        <w:t xml:space="preserve">the WF </w:t>
      </w:r>
      <w:r w:rsidR="00100F4A" w:rsidRPr="004708AE">
        <w:rPr>
          <w:lang w:val="en-AU"/>
        </w:rPr>
        <w:t>RMa models the NLOS rms AOA spread with a median of 33 degrees</w:t>
      </w:r>
      <w:r w:rsidR="00763123">
        <w:rPr>
          <w:lang w:val="en-AU"/>
        </w:rPr>
        <w:t xml:space="preserve"> [1]</w:t>
      </w:r>
      <w:r w:rsidR="00100F4A" w:rsidRPr="004708AE">
        <w:rPr>
          <w:lang w:val="en-AU"/>
        </w:rPr>
        <w:t>.</w:t>
      </w:r>
    </w:p>
    <w:p w14:paraId="1D820444" w14:textId="77777777" w:rsidR="00E67D83" w:rsidRPr="004708AE" w:rsidRDefault="00E67D83" w:rsidP="00E67D83">
      <w:pPr>
        <w:pStyle w:val="BodyText"/>
        <w:rPr>
          <w:lang w:val="en-AU"/>
        </w:rPr>
      </w:pPr>
      <w:r w:rsidRPr="004708AE">
        <w:rPr>
          <w:noProof/>
          <w:lang w:val="en-AU" w:eastAsia="en-AU"/>
        </w:rPr>
        <w:drawing>
          <wp:inline distT="0" distB="0" distL="0" distR="0" wp14:anchorId="567CAA86" wp14:editId="07A6BE02">
            <wp:extent cx="2936695" cy="2045453"/>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a:extLst>
                        <a:ext uri="{28A0092B-C50C-407E-A947-70E740481C1C}">
                          <a14:useLocalDpi xmlns:a14="http://schemas.microsoft.com/office/drawing/2010/main" val="0"/>
                        </a:ext>
                      </a:extLst>
                    </a:blip>
                    <a:srcRect l="4" t="2" r="46608" b="50446"/>
                    <a:stretch/>
                  </pic:blipFill>
                  <pic:spPr bwMode="auto">
                    <a:xfrm>
                      <a:off x="0" y="0"/>
                      <a:ext cx="2990592" cy="2082993"/>
                    </a:xfrm>
                    <a:prstGeom prst="rect">
                      <a:avLst/>
                    </a:prstGeom>
                    <a:noFill/>
                    <a:ln>
                      <a:noFill/>
                    </a:ln>
                    <a:extLst>
                      <a:ext uri="{53640926-AAD7-44D8-BBD7-CCE9431645EC}">
                        <a14:shadowObscured xmlns:a14="http://schemas.microsoft.com/office/drawing/2010/main"/>
                      </a:ext>
                    </a:extLst>
                  </pic:spPr>
                </pic:pic>
              </a:graphicData>
            </a:graphic>
          </wp:inline>
        </w:drawing>
      </w:r>
    </w:p>
    <w:p w14:paraId="1FEA65E5" w14:textId="662FAF8B" w:rsidR="00E67D83" w:rsidRPr="004708AE" w:rsidRDefault="00E67D83" w:rsidP="000E1D1A">
      <w:pPr>
        <w:pStyle w:val="Caption"/>
        <w:rPr>
          <w:lang w:val="en-AU"/>
        </w:rPr>
      </w:pPr>
      <w:r w:rsidRPr="004708AE">
        <w:rPr>
          <w:lang w:val="en-AU"/>
        </w:rPr>
        <w:t xml:space="preserve">Figure </w:t>
      </w:r>
      <w:r w:rsidR="000E1D1A">
        <w:rPr>
          <w:lang w:val="en-AU"/>
        </w:rPr>
        <w:t>5</w:t>
      </w:r>
      <w:r w:rsidRPr="004708AE">
        <w:rPr>
          <w:lang w:val="en-AU"/>
        </w:rPr>
        <w:t>. RMS angular spread at the Rx. Red</w:t>
      </w:r>
      <w:r w:rsidR="00A62B8B" w:rsidRPr="004708AE">
        <w:rPr>
          <w:lang w:val="en-AU"/>
        </w:rPr>
        <w:t>:</w:t>
      </w:r>
      <w:r w:rsidRPr="004708AE">
        <w:rPr>
          <w:lang w:val="en-AU"/>
        </w:rPr>
        <w:t xml:space="preserve"> htx = 11.8m and Blue</w:t>
      </w:r>
      <w:r w:rsidR="00A62B8B" w:rsidRPr="004708AE">
        <w:rPr>
          <w:lang w:val="en-AU"/>
        </w:rPr>
        <w:t>:</w:t>
      </w:r>
      <w:r w:rsidRPr="004708AE">
        <w:rPr>
          <w:lang w:val="en-AU"/>
        </w:rPr>
        <w:t xml:space="preserve"> htx=16.2m.  </w:t>
      </w:r>
    </w:p>
    <w:p w14:paraId="7E53B6B6" w14:textId="77777777" w:rsidR="00E67D83" w:rsidRPr="004708AE" w:rsidRDefault="00E67D83" w:rsidP="00FB0D7C">
      <w:pPr>
        <w:pStyle w:val="BodyText"/>
        <w:rPr>
          <w:lang w:val="en-AU"/>
        </w:rPr>
      </w:pPr>
    </w:p>
    <w:p w14:paraId="6C9570FB" w14:textId="77777777" w:rsidR="00022E81" w:rsidRPr="004708AE" w:rsidRDefault="00491BB9" w:rsidP="004A619D">
      <w:pPr>
        <w:pStyle w:val="Heading1"/>
        <w:rPr>
          <w:lang w:val="en-AU"/>
        </w:rPr>
      </w:pPr>
      <w:r w:rsidRPr="004708AE">
        <w:rPr>
          <w:lang w:val="en-AU"/>
        </w:rPr>
        <w:t>Discussion</w:t>
      </w:r>
    </w:p>
    <w:p w14:paraId="3C1C399B" w14:textId="029B77C7" w:rsidR="00325145" w:rsidRPr="004708AE" w:rsidRDefault="00873A8D" w:rsidP="00A249FB">
      <w:pPr>
        <w:pStyle w:val="BodyText"/>
        <w:rPr>
          <w:lang w:val="en-AU"/>
        </w:rPr>
      </w:pPr>
      <w:r>
        <w:rPr>
          <w:lang w:val="en-AU"/>
        </w:rPr>
        <w:t>Figure 3</w:t>
      </w:r>
      <w:r w:rsidR="00F465A0" w:rsidRPr="004708AE">
        <w:rPr>
          <w:lang w:val="en-AU"/>
        </w:rPr>
        <w:t xml:space="preserve"> indicates the </w:t>
      </w:r>
      <w:r w:rsidR="00EF329C" w:rsidRPr="004708AE">
        <w:rPr>
          <w:lang w:val="en-AU"/>
        </w:rPr>
        <w:t xml:space="preserve">potential to extend the </w:t>
      </w:r>
      <w:r>
        <w:rPr>
          <w:lang w:val="en-AU"/>
        </w:rPr>
        <w:t>WF RMa</w:t>
      </w:r>
      <w:r w:rsidR="00EF329C" w:rsidRPr="004708AE">
        <w:rPr>
          <w:lang w:val="en-AU"/>
        </w:rPr>
        <w:t xml:space="preserve"> model</w:t>
      </w:r>
      <w:r w:rsidR="00F465A0" w:rsidRPr="004708AE">
        <w:rPr>
          <w:lang w:val="en-AU"/>
        </w:rPr>
        <w:t xml:space="preserve"> to higher frequencies.  </w:t>
      </w:r>
      <w:r w:rsidR="00EF329C" w:rsidRPr="004708AE">
        <w:rPr>
          <w:lang w:val="en-AU"/>
        </w:rPr>
        <w:t xml:space="preserve">From </w:t>
      </w:r>
      <w:r>
        <w:rPr>
          <w:lang w:val="en-AU"/>
        </w:rPr>
        <w:t>F</w:t>
      </w:r>
      <w:r w:rsidR="00EF329C" w:rsidRPr="004708AE">
        <w:rPr>
          <w:lang w:val="en-AU"/>
        </w:rPr>
        <w:t>igure 4, the median peak power is 26</w:t>
      </w:r>
      <w:r>
        <w:rPr>
          <w:lang w:val="en-AU"/>
        </w:rPr>
        <w:t xml:space="preserve"> </w:t>
      </w:r>
      <w:r w:rsidR="00EF329C" w:rsidRPr="004708AE">
        <w:rPr>
          <w:lang w:val="en-AU"/>
        </w:rPr>
        <w:t>dB below the free-space value (ht</w:t>
      </w:r>
      <w:r>
        <w:rPr>
          <w:lang w:val="en-AU"/>
        </w:rPr>
        <w:t xml:space="preserve"> </w:t>
      </w:r>
      <w:r w:rsidR="00EF329C" w:rsidRPr="004708AE">
        <w:rPr>
          <w:lang w:val="en-AU"/>
        </w:rPr>
        <w:t>=</w:t>
      </w:r>
      <w:r>
        <w:rPr>
          <w:lang w:val="en-AU"/>
        </w:rPr>
        <w:t xml:space="preserve"> </w:t>
      </w:r>
      <w:r w:rsidR="00EF329C" w:rsidRPr="004708AE">
        <w:rPr>
          <w:lang w:val="en-AU"/>
        </w:rPr>
        <w:t>16.2).   We note</w:t>
      </w:r>
      <w:r w:rsidR="007845F2" w:rsidRPr="004708AE">
        <w:rPr>
          <w:lang w:val="en-AU"/>
        </w:rPr>
        <w:t xml:space="preserve"> that this is just a little larger than the 24</w:t>
      </w:r>
      <w:r>
        <w:rPr>
          <w:lang w:val="en-AU"/>
        </w:rPr>
        <w:t xml:space="preserve"> </w:t>
      </w:r>
      <w:r w:rsidR="007845F2" w:rsidRPr="004708AE">
        <w:rPr>
          <w:lang w:val="en-AU"/>
        </w:rPr>
        <w:t>dB separation between free-space line and the NLOS lines at the 350</w:t>
      </w:r>
      <w:r>
        <w:rPr>
          <w:lang w:val="en-AU"/>
        </w:rPr>
        <w:t xml:space="preserve"> </w:t>
      </w:r>
      <w:r w:rsidR="007845F2" w:rsidRPr="004708AE">
        <w:rPr>
          <w:lang w:val="en-AU"/>
        </w:rPr>
        <w:t>m mark in Fig</w:t>
      </w:r>
      <w:r>
        <w:rPr>
          <w:lang w:val="en-AU"/>
        </w:rPr>
        <w:t>ure</w:t>
      </w:r>
      <w:r w:rsidR="007845F2" w:rsidRPr="004708AE">
        <w:rPr>
          <w:lang w:val="en-AU"/>
        </w:rPr>
        <w:t xml:space="preserve"> 3 LHS.  This indicates the potential to extend the </w:t>
      </w:r>
      <w:r>
        <w:rPr>
          <w:lang w:val="en-AU"/>
        </w:rPr>
        <w:t>WF RMa</w:t>
      </w:r>
      <w:r w:rsidR="007845F2" w:rsidRPr="004708AE">
        <w:rPr>
          <w:lang w:val="en-AU"/>
        </w:rPr>
        <w:t xml:space="preserve"> model from the current 6</w:t>
      </w:r>
      <w:r>
        <w:rPr>
          <w:lang w:val="en-AU"/>
        </w:rPr>
        <w:t xml:space="preserve"> </w:t>
      </w:r>
      <w:r w:rsidR="007845F2" w:rsidRPr="004708AE">
        <w:rPr>
          <w:lang w:val="en-AU"/>
        </w:rPr>
        <w:t>GHz to 24</w:t>
      </w:r>
      <w:r>
        <w:rPr>
          <w:lang w:val="en-AU"/>
        </w:rPr>
        <w:t xml:space="preserve"> </w:t>
      </w:r>
      <w:r w:rsidR="007845F2" w:rsidRPr="004708AE">
        <w:rPr>
          <w:lang w:val="en-AU"/>
        </w:rPr>
        <w:t xml:space="preserve">GHz at least and maybe to even higher frequencies.   </w:t>
      </w:r>
    </w:p>
    <w:p w14:paraId="21DAC2DB" w14:textId="0810C646" w:rsidR="005F23F2" w:rsidRPr="004708AE" w:rsidRDefault="00923E50" w:rsidP="00A249FB">
      <w:pPr>
        <w:pStyle w:val="BodyText"/>
        <w:rPr>
          <w:lang w:val="en-AU"/>
        </w:rPr>
      </w:pPr>
      <w:r w:rsidRPr="004708AE">
        <w:rPr>
          <w:lang w:val="en-AU"/>
        </w:rPr>
        <w:t>Details of the measurement scenarios are shown in A</w:t>
      </w:r>
      <w:r w:rsidR="00017F2F" w:rsidRPr="004708AE">
        <w:rPr>
          <w:lang w:val="en-AU"/>
        </w:rPr>
        <w:t>ppendix</w:t>
      </w:r>
      <w:r w:rsidR="00873A8D">
        <w:rPr>
          <w:lang w:val="en-AU"/>
        </w:rPr>
        <w:t xml:space="preserve"> A</w:t>
      </w:r>
      <w:r w:rsidR="00017F2F" w:rsidRPr="004708AE">
        <w:rPr>
          <w:lang w:val="en-AU"/>
        </w:rPr>
        <w:t xml:space="preserve"> along with notes on each scenario</w:t>
      </w:r>
      <w:r w:rsidR="003D5181" w:rsidRPr="004708AE">
        <w:rPr>
          <w:lang w:val="en-AU"/>
        </w:rPr>
        <w:t>.</w:t>
      </w:r>
      <w:r w:rsidRPr="004708AE">
        <w:rPr>
          <w:lang w:val="en-AU"/>
        </w:rPr>
        <w:t xml:space="preserve"> </w:t>
      </w:r>
    </w:p>
    <w:p w14:paraId="60721357" w14:textId="5482229C" w:rsidR="00840415" w:rsidRPr="004708AE" w:rsidRDefault="00840415" w:rsidP="00A249FB">
      <w:pPr>
        <w:pStyle w:val="BodyText"/>
        <w:rPr>
          <w:b/>
          <w:lang w:val="en-AU"/>
        </w:rPr>
      </w:pPr>
      <w:r w:rsidRPr="004708AE">
        <w:rPr>
          <w:b/>
          <w:lang w:val="en-AU"/>
        </w:rPr>
        <w:t>Observation:</w:t>
      </w:r>
      <w:r w:rsidR="00AD1801" w:rsidRPr="004708AE">
        <w:rPr>
          <w:b/>
          <w:lang w:val="en-AU"/>
        </w:rPr>
        <w:t xml:space="preserve"> pathloss measurements at 24 GHz in a rural </w:t>
      </w:r>
      <w:r w:rsidR="00873A8D">
        <w:rPr>
          <w:b/>
          <w:lang w:val="en-AU"/>
        </w:rPr>
        <w:t xml:space="preserve">macro </w:t>
      </w:r>
      <w:r w:rsidR="00AD1801" w:rsidRPr="004708AE">
        <w:rPr>
          <w:b/>
          <w:lang w:val="en-AU"/>
        </w:rPr>
        <w:t xml:space="preserve">environment agree </w:t>
      </w:r>
      <w:r w:rsidR="004708AE" w:rsidRPr="004708AE">
        <w:rPr>
          <w:b/>
          <w:lang w:val="en-AU"/>
        </w:rPr>
        <w:t>on average</w:t>
      </w:r>
      <w:r w:rsidR="00AD1801" w:rsidRPr="004708AE">
        <w:rPr>
          <w:b/>
          <w:lang w:val="en-AU"/>
        </w:rPr>
        <w:t xml:space="preserve"> with the </w:t>
      </w:r>
      <w:r w:rsidR="00873A8D">
        <w:rPr>
          <w:b/>
          <w:lang w:val="en-AU"/>
        </w:rPr>
        <w:t>WF RMa</w:t>
      </w:r>
      <w:r w:rsidR="00AD1801" w:rsidRPr="004708AE">
        <w:rPr>
          <w:b/>
          <w:lang w:val="en-AU"/>
        </w:rPr>
        <w:t xml:space="preserve"> pathloss model</w:t>
      </w:r>
    </w:p>
    <w:p w14:paraId="135CCAE6" w14:textId="5CB8751A" w:rsidR="00BA68D6" w:rsidRPr="004708AE" w:rsidRDefault="00873A8D" w:rsidP="00BA68D6">
      <w:pPr>
        <w:pStyle w:val="BodyText"/>
        <w:rPr>
          <w:lang w:val="en-AU"/>
        </w:rPr>
      </w:pPr>
      <w:r>
        <w:rPr>
          <w:lang w:val="en-AU"/>
        </w:rPr>
        <w:t>T</w:t>
      </w:r>
      <w:r w:rsidR="00BA68D6" w:rsidRPr="004708AE">
        <w:rPr>
          <w:lang w:val="en-AU"/>
        </w:rPr>
        <w:t>he comparison between</w:t>
      </w:r>
      <w:r>
        <w:rPr>
          <w:lang w:val="en-AU"/>
        </w:rPr>
        <w:t xml:space="preserve"> upper and lower</w:t>
      </w:r>
      <w:r w:rsidR="00BA68D6" w:rsidRPr="004708AE">
        <w:rPr>
          <w:lang w:val="en-AU"/>
        </w:rPr>
        <w:t xml:space="preserve"> transmitter locations at 24 GHz </w:t>
      </w:r>
      <w:r>
        <w:rPr>
          <w:lang w:val="en-AU"/>
        </w:rPr>
        <w:t>indicates</w:t>
      </w:r>
      <w:r w:rsidR="00923E50" w:rsidRPr="004708AE">
        <w:rPr>
          <w:lang w:val="en-AU"/>
        </w:rPr>
        <w:t xml:space="preserve"> attenuations </w:t>
      </w:r>
      <w:r>
        <w:rPr>
          <w:lang w:val="en-AU"/>
        </w:rPr>
        <w:t>by foliage in</w:t>
      </w:r>
      <w:r w:rsidR="00923E50" w:rsidRPr="004708AE">
        <w:rPr>
          <w:lang w:val="en-AU"/>
        </w:rPr>
        <w:t xml:space="preserve"> the order </w:t>
      </w:r>
      <w:r>
        <w:rPr>
          <w:lang w:val="en-AU"/>
        </w:rPr>
        <w:t xml:space="preserve">of </w:t>
      </w:r>
      <w:r w:rsidR="00923E50" w:rsidRPr="004708AE">
        <w:rPr>
          <w:lang w:val="en-AU"/>
        </w:rPr>
        <w:t>20</w:t>
      </w:r>
      <w:r>
        <w:rPr>
          <w:lang w:val="en-AU"/>
        </w:rPr>
        <w:t xml:space="preserve"> </w:t>
      </w:r>
      <w:r w:rsidR="00923E50" w:rsidRPr="004708AE">
        <w:rPr>
          <w:lang w:val="en-AU"/>
        </w:rPr>
        <w:t>dB in some locations.</w:t>
      </w:r>
      <w:r w:rsidR="003D5181" w:rsidRPr="004708AE">
        <w:rPr>
          <w:lang w:val="en-AU"/>
        </w:rPr>
        <w:t xml:space="preserve"> Position 6 (see </w:t>
      </w:r>
      <w:r>
        <w:rPr>
          <w:lang w:val="en-AU"/>
        </w:rPr>
        <w:t>A</w:t>
      </w:r>
      <w:r w:rsidR="003D5181" w:rsidRPr="004708AE">
        <w:rPr>
          <w:lang w:val="en-AU"/>
        </w:rPr>
        <w:t>ppendix</w:t>
      </w:r>
      <w:r>
        <w:rPr>
          <w:lang w:val="en-AU"/>
        </w:rPr>
        <w:t xml:space="preserve"> A</w:t>
      </w:r>
      <w:r w:rsidR="003D5181" w:rsidRPr="004708AE">
        <w:rPr>
          <w:lang w:val="en-AU"/>
        </w:rPr>
        <w:t>) shows clearance for the upper Tx and foliage blockage for the lower Tx.</w:t>
      </w:r>
    </w:p>
    <w:p w14:paraId="3C2EE424" w14:textId="2007401B" w:rsidR="00AD1801" w:rsidRPr="004708AE" w:rsidRDefault="00AD1801" w:rsidP="00BA68D6">
      <w:pPr>
        <w:pStyle w:val="BodyText"/>
        <w:rPr>
          <w:b/>
          <w:lang w:val="en-AU"/>
        </w:rPr>
      </w:pPr>
      <w:r w:rsidRPr="004708AE">
        <w:rPr>
          <w:b/>
          <w:lang w:val="en-AU"/>
        </w:rPr>
        <w:t>Observation: in isolation, tree foliage can cause up to 20 dB attenuation</w:t>
      </w:r>
    </w:p>
    <w:p w14:paraId="69E0884F" w14:textId="2B71556A" w:rsidR="00BA68D6" w:rsidRPr="004708AE" w:rsidRDefault="00AD1801" w:rsidP="00BA68D6">
      <w:pPr>
        <w:pStyle w:val="BodyText"/>
        <w:rPr>
          <w:lang w:val="en-AU"/>
        </w:rPr>
      </w:pPr>
      <w:r w:rsidRPr="004708AE">
        <w:rPr>
          <w:lang w:val="en-AU"/>
        </w:rPr>
        <w:t xml:space="preserve">Measurements </w:t>
      </w:r>
      <w:r w:rsidR="00873A8D">
        <w:rPr>
          <w:lang w:val="en-AU"/>
        </w:rPr>
        <w:t xml:space="preserve">of AOA spread show </w:t>
      </w:r>
      <w:bookmarkStart w:id="3" w:name="_GoBack"/>
      <w:bookmarkEnd w:id="3"/>
      <w:r w:rsidR="00873A8D">
        <w:rPr>
          <w:lang w:val="en-AU"/>
        </w:rPr>
        <w:t>agreement with the WF RMa model indicating the potential to extend the model to 24 GHz for fast fading also.</w:t>
      </w:r>
    </w:p>
    <w:p w14:paraId="006425F1" w14:textId="24516A13" w:rsidR="00AD1801" w:rsidRDefault="00AD1801" w:rsidP="00BA68D6">
      <w:pPr>
        <w:pStyle w:val="BodyText"/>
        <w:rPr>
          <w:b/>
          <w:lang w:val="en-AU"/>
        </w:rPr>
      </w:pPr>
      <w:r w:rsidRPr="004708AE">
        <w:rPr>
          <w:b/>
          <w:lang w:val="en-AU"/>
        </w:rPr>
        <w:t xml:space="preserve">Observation: </w:t>
      </w:r>
      <w:r w:rsidR="00873A8D">
        <w:rPr>
          <w:b/>
          <w:lang w:val="en-AU"/>
        </w:rPr>
        <w:t>AOA spread measurements at 24 GHz in a rural macro environment agree on average with the WF RMa pathloss model</w:t>
      </w:r>
    </w:p>
    <w:p w14:paraId="3F90B018" w14:textId="77777777" w:rsidR="00873A8D" w:rsidRPr="004708AE" w:rsidRDefault="00873A8D" w:rsidP="00BA68D6">
      <w:pPr>
        <w:pStyle w:val="BodyText"/>
        <w:rPr>
          <w:b/>
          <w:lang w:val="en-AU"/>
        </w:rPr>
      </w:pPr>
    </w:p>
    <w:p w14:paraId="65DA25B9" w14:textId="77777777" w:rsidR="00FE5799" w:rsidRPr="004708AE" w:rsidRDefault="00FE5799" w:rsidP="00FE5799">
      <w:pPr>
        <w:pStyle w:val="Heading1"/>
        <w:rPr>
          <w:lang w:val="en-AU"/>
        </w:rPr>
      </w:pPr>
      <w:r w:rsidRPr="004708AE">
        <w:rPr>
          <w:lang w:val="en-AU"/>
        </w:rPr>
        <w:t>Conclusion</w:t>
      </w:r>
    </w:p>
    <w:p w14:paraId="43DA1249" w14:textId="77777777" w:rsidR="00873A8D" w:rsidRPr="004708AE" w:rsidRDefault="00873A8D" w:rsidP="00873A8D">
      <w:pPr>
        <w:pStyle w:val="BodyText"/>
        <w:rPr>
          <w:b/>
          <w:lang w:val="en-AU"/>
        </w:rPr>
      </w:pPr>
      <w:r w:rsidRPr="004708AE">
        <w:rPr>
          <w:b/>
          <w:lang w:val="en-AU"/>
        </w:rPr>
        <w:t xml:space="preserve">Observation: pathloss measurements at 24 GHz in a rural </w:t>
      </w:r>
      <w:r>
        <w:rPr>
          <w:b/>
          <w:lang w:val="en-AU"/>
        </w:rPr>
        <w:t xml:space="preserve">macro </w:t>
      </w:r>
      <w:r w:rsidRPr="004708AE">
        <w:rPr>
          <w:b/>
          <w:lang w:val="en-AU"/>
        </w:rPr>
        <w:t xml:space="preserve">environment agree on average with the </w:t>
      </w:r>
      <w:r>
        <w:rPr>
          <w:b/>
          <w:lang w:val="en-AU"/>
        </w:rPr>
        <w:t>WF RMa</w:t>
      </w:r>
      <w:r w:rsidRPr="004708AE">
        <w:rPr>
          <w:b/>
          <w:lang w:val="en-AU"/>
        </w:rPr>
        <w:t xml:space="preserve"> pathloss model</w:t>
      </w:r>
    </w:p>
    <w:p w14:paraId="2D6868AA" w14:textId="77777777" w:rsidR="00873A8D" w:rsidRPr="004708AE" w:rsidRDefault="00873A8D" w:rsidP="00873A8D">
      <w:pPr>
        <w:pStyle w:val="BodyText"/>
        <w:rPr>
          <w:b/>
          <w:lang w:val="en-AU"/>
        </w:rPr>
      </w:pPr>
      <w:r w:rsidRPr="004708AE">
        <w:rPr>
          <w:b/>
          <w:lang w:val="en-AU"/>
        </w:rPr>
        <w:t>Observation: in isolation, tree foliage can cause up to 20 dB attenuation</w:t>
      </w:r>
    </w:p>
    <w:p w14:paraId="7BC79264" w14:textId="77777777" w:rsidR="00873A8D" w:rsidRPr="004708AE" w:rsidRDefault="00873A8D" w:rsidP="00873A8D">
      <w:pPr>
        <w:pStyle w:val="BodyText"/>
        <w:rPr>
          <w:b/>
          <w:lang w:val="en-AU"/>
        </w:rPr>
      </w:pPr>
      <w:r w:rsidRPr="004708AE">
        <w:rPr>
          <w:b/>
          <w:lang w:val="en-AU"/>
        </w:rPr>
        <w:t xml:space="preserve">Observation: </w:t>
      </w:r>
      <w:r>
        <w:rPr>
          <w:b/>
          <w:lang w:val="en-AU"/>
        </w:rPr>
        <w:t>AOA spread measurements at 24 GHz in a rural macro environment agree on average with the WF RMa pathloss model</w:t>
      </w:r>
    </w:p>
    <w:p w14:paraId="0CE2472E" w14:textId="383C7684" w:rsidR="00873A8D" w:rsidRPr="004708AE" w:rsidRDefault="00873A8D" w:rsidP="00873A8D">
      <w:pPr>
        <w:pStyle w:val="BodyText"/>
        <w:rPr>
          <w:b/>
          <w:lang w:val="en-AU"/>
        </w:rPr>
      </w:pPr>
      <w:r w:rsidRPr="004708AE">
        <w:rPr>
          <w:b/>
          <w:lang w:val="en-AU"/>
        </w:rPr>
        <w:t xml:space="preserve">Proposal: Extend the applicability of the new RMa path loss model in R1-163909 </w:t>
      </w:r>
      <w:r w:rsidRPr="004708AE">
        <w:rPr>
          <w:b/>
          <w:lang w:val="en-AU"/>
        </w:rPr>
        <w:fldChar w:fldCharType="begin"/>
      </w:r>
      <w:r w:rsidRPr="004708AE">
        <w:rPr>
          <w:b/>
          <w:lang w:val="en-AU"/>
        </w:rPr>
        <w:instrText xml:space="preserve"> REF _Ref450659245 \r </w:instrText>
      </w:r>
      <w:r>
        <w:rPr>
          <w:b/>
          <w:lang w:val="en-AU"/>
        </w:rPr>
        <w:instrText xml:space="preserve"> \* MERGEFORMAT </w:instrText>
      </w:r>
      <w:r w:rsidRPr="004708AE">
        <w:rPr>
          <w:b/>
          <w:lang w:val="en-AU"/>
        </w:rPr>
        <w:fldChar w:fldCharType="separate"/>
      </w:r>
      <w:r w:rsidRPr="004708AE">
        <w:rPr>
          <w:b/>
          <w:lang w:val="en-AU"/>
        </w:rPr>
        <w:t>[1]</w:t>
      </w:r>
      <w:r w:rsidRPr="004708AE">
        <w:rPr>
          <w:b/>
          <w:lang w:val="en-AU"/>
        </w:rPr>
        <w:fldChar w:fldCharType="end"/>
      </w:r>
      <w:r w:rsidRPr="004708AE">
        <w:rPr>
          <w:b/>
          <w:lang w:val="en-AU"/>
        </w:rPr>
        <w:t xml:space="preserve"> </w:t>
      </w:r>
      <w:r>
        <w:rPr>
          <w:b/>
          <w:lang w:val="en-AU"/>
        </w:rPr>
        <w:t>to 24 GHz</w:t>
      </w:r>
    </w:p>
    <w:p w14:paraId="5FD159AB" w14:textId="5678E3DF" w:rsidR="00873A8D" w:rsidRDefault="00873A8D" w:rsidP="00873A8D">
      <w:pPr>
        <w:pStyle w:val="BodyText"/>
        <w:rPr>
          <w:b/>
          <w:lang w:val="en-AU"/>
        </w:rPr>
      </w:pPr>
      <w:r w:rsidRPr="004708AE">
        <w:rPr>
          <w:b/>
          <w:lang w:val="en-AU"/>
        </w:rPr>
        <w:t xml:space="preserve">Proposal: </w:t>
      </w:r>
      <w:r>
        <w:rPr>
          <w:b/>
          <w:lang w:val="en-AU"/>
        </w:rPr>
        <w:t>Consider extending</w:t>
      </w:r>
      <w:r w:rsidRPr="004708AE">
        <w:rPr>
          <w:b/>
          <w:lang w:val="en-AU"/>
        </w:rPr>
        <w:t xml:space="preserve"> the applicability of the new RMa </w:t>
      </w:r>
      <w:r>
        <w:rPr>
          <w:b/>
          <w:lang w:val="en-AU"/>
        </w:rPr>
        <w:t>fast fading</w:t>
      </w:r>
      <w:r w:rsidRPr="004708AE">
        <w:rPr>
          <w:b/>
          <w:lang w:val="en-AU"/>
        </w:rPr>
        <w:t xml:space="preserve"> model in R1-163909 </w:t>
      </w:r>
      <w:r w:rsidRPr="004708AE">
        <w:rPr>
          <w:b/>
          <w:lang w:val="en-AU"/>
        </w:rPr>
        <w:fldChar w:fldCharType="begin"/>
      </w:r>
      <w:r w:rsidRPr="004708AE">
        <w:rPr>
          <w:b/>
          <w:lang w:val="en-AU"/>
        </w:rPr>
        <w:instrText xml:space="preserve"> REF _Ref450659245 \r </w:instrText>
      </w:r>
      <w:r>
        <w:rPr>
          <w:b/>
          <w:lang w:val="en-AU"/>
        </w:rPr>
        <w:instrText xml:space="preserve"> \* MERGEFORMAT </w:instrText>
      </w:r>
      <w:r w:rsidRPr="004708AE">
        <w:rPr>
          <w:b/>
          <w:lang w:val="en-AU"/>
        </w:rPr>
        <w:fldChar w:fldCharType="separate"/>
      </w:r>
      <w:r w:rsidRPr="004708AE">
        <w:rPr>
          <w:b/>
          <w:lang w:val="en-AU"/>
        </w:rPr>
        <w:t>[1]</w:t>
      </w:r>
      <w:r w:rsidRPr="004708AE">
        <w:rPr>
          <w:b/>
          <w:lang w:val="en-AU"/>
        </w:rPr>
        <w:fldChar w:fldCharType="end"/>
      </w:r>
      <w:r w:rsidRPr="004708AE">
        <w:rPr>
          <w:b/>
          <w:lang w:val="en-AU"/>
        </w:rPr>
        <w:t xml:space="preserve"> </w:t>
      </w:r>
      <w:r>
        <w:rPr>
          <w:b/>
          <w:lang w:val="en-AU"/>
        </w:rPr>
        <w:t>to 24 GHz</w:t>
      </w:r>
    </w:p>
    <w:p w14:paraId="7488CF96" w14:textId="77777777" w:rsidR="00873A8D" w:rsidRDefault="00873A8D" w:rsidP="00873A8D">
      <w:pPr>
        <w:pStyle w:val="BodyText"/>
        <w:rPr>
          <w:b/>
          <w:lang w:val="en-AU"/>
        </w:rPr>
      </w:pPr>
    </w:p>
    <w:p w14:paraId="76CAC43D" w14:textId="08FC0D50" w:rsidR="00873A8D" w:rsidRDefault="00873A8D" w:rsidP="00873A8D">
      <w:pPr>
        <w:pStyle w:val="Heading1"/>
        <w:rPr>
          <w:lang w:val="en-AU"/>
        </w:rPr>
      </w:pPr>
      <w:r>
        <w:rPr>
          <w:lang w:val="en-AU"/>
        </w:rPr>
        <w:t>Acknowledgments</w:t>
      </w:r>
    </w:p>
    <w:p w14:paraId="702650F0" w14:textId="42CCDC04" w:rsidR="00873A8D" w:rsidRDefault="009C3FC6" w:rsidP="00873A8D">
      <w:pPr>
        <w:pStyle w:val="BodyText"/>
        <w:rPr>
          <w:lang w:val="en-AU"/>
        </w:rPr>
      </w:pPr>
      <w:r>
        <w:rPr>
          <w:lang w:val="en-AU"/>
        </w:rPr>
        <w:t>Our thanks to</w:t>
      </w:r>
      <w:r w:rsidR="00197B4A">
        <w:rPr>
          <w:lang w:val="en-AU"/>
        </w:rPr>
        <w:t xml:space="preserve"> Mike Faulkner</w:t>
      </w:r>
      <w:r>
        <w:rPr>
          <w:lang w:val="en-AU"/>
        </w:rPr>
        <w:t xml:space="preserve"> and team at the Victoria University for their great work in collecting and analysing the measurements used in this contribution and to the radio propagation team at Ericsson Research for their help with methodology and analysis..</w:t>
      </w:r>
    </w:p>
    <w:p w14:paraId="69477400" w14:textId="77777777" w:rsidR="00873A8D" w:rsidRPr="00873A8D" w:rsidRDefault="00873A8D" w:rsidP="00873A8D">
      <w:pPr>
        <w:pStyle w:val="BodyText"/>
        <w:rPr>
          <w:lang w:val="en-AU"/>
        </w:rPr>
      </w:pPr>
    </w:p>
    <w:p w14:paraId="2CD0AA0F" w14:textId="77777777" w:rsidR="004A619D" w:rsidRPr="004708AE" w:rsidRDefault="004A619D" w:rsidP="004A619D">
      <w:pPr>
        <w:pStyle w:val="Heading1"/>
        <w:rPr>
          <w:lang w:val="en-AU"/>
        </w:rPr>
      </w:pPr>
      <w:r w:rsidRPr="004708AE">
        <w:rPr>
          <w:lang w:val="en-AU"/>
        </w:rPr>
        <w:t>References</w:t>
      </w:r>
    </w:p>
    <w:p w14:paraId="5C18CE2D" w14:textId="77777777" w:rsidR="002019C1" w:rsidRPr="004708AE" w:rsidRDefault="00FB0D7C" w:rsidP="00FB0D7C">
      <w:pPr>
        <w:numPr>
          <w:ilvl w:val="0"/>
          <w:numId w:val="2"/>
        </w:numPr>
        <w:jc w:val="both"/>
        <w:rPr>
          <w:szCs w:val="20"/>
          <w:lang w:val="en-AU"/>
        </w:rPr>
      </w:pPr>
      <w:bookmarkStart w:id="4" w:name="_Ref450659245"/>
      <w:r w:rsidRPr="004708AE">
        <w:rPr>
          <w:szCs w:val="20"/>
          <w:lang w:val="en-AU"/>
        </w:rPr>
        <w:t>3GPP R1-163909, “WF on the rural macro scenario”, Ericsson, Vodafone, Samsung, Nokia, April 2016.</w:t>
      </w:r>
      <w:bookmarkEnd w:id="4"/>
    </w:p>
    <w:p w14:paraId="2B51F91C" w14:textId="3E3EC662" w:rsidR="00FB0D7C" w:rsidRPr="004708AE" w:rsidRDefault="00FB0D7C" w:rsidP="004708AE">
      <w:pPr>
        <w:numPr>
          <w:ilvl w:val="0"/>
          <w:numId w:val="2"/>
        </w:numPr>
        <w:jc w:val="both"/>
        <w:rPr>
          <w:szCs w:val="20"/>
          <w:lang w:val="en-AU"/>
        </w:rPr>
      </w:pPr>
      <w:bookmarkStart w:id="5" w:name="_Ref448450518"/>
      <w:r w:rsidRPr="004708AE">
        <w:rPr>
          <w:szCs w:val="20"/>
          <w:lang w:val="en-AU"/>
        </w:rPr>
        <w:t>3GPP TR 36.913, “Study on Scenarios and Requirements for Next Generation Access Technologies;” v0.3.0, May 2016.</w:t>
      </w:r>
      <w:bookmarkEnd w:id="5"/>
    </w:p>
    <w:p w14:paraId="4726E28A" w14:textId="77777777" w:rsidR="00FB0D7C" w:rsidRPr="004708AE" w:rsidRDefault="00FB0D7C" w:rsidP="00FB0D7C">
      <w:pPr>
        <w:pStyle w:val="BodyText"/>
        <w:rPr>
          <w:lang w:val="en-AU"/>
        </w:rPr>
      </w:pPr>
    </w:p>
    <w:p w14:paraId="1EAF4E73" w14:textId="36310442" w:rsidR="00F062F2" w:rsidRPr="004708AE" w:rsidRDefault="00B66CA0" w:rsidP="00B66CA0">
      <w:pPr>
        <w:pStyle w:val="Heading1"/>
        <w:rPr>
          <w:lang w:val="en-AU"/>
        </w:rPr>
      </w:pPr>
      <w:r w:rsidRPr="004708AE">
        <w:rPr>
          <w:lang w:val="en-AU"/>
        </w:rPr>
        <w:t>Appendix</w:t>
      </w:r>
      <w:r w:rsidR="000E1D1A">
        <w:rPr>
          <w:lang w:val="en-AU"/>
        </w:rPr>
        <w:t xml:space="preserve"> A</w:t>
      </w:r>
    </w:p>
    <w:p w14:paraId="64A9BFB4" w14:textId="50DA8EDE" w:rsidR="00657023" w:rsidRDefault="00873A8D" w:rsidP="00FB0D7C">
      <w:pPr>
        <w:pStyle w:val="BodyText"/>
        <w:rPr>
          <w:lang w:val="en-AU"/>
        </w:rPr>
      </w:pPr>
      <w:r>
        <w:rPr>
          <w:lang w:val="en-AU"/>
        </w:rPr>
        <w:t>A</w:t>
      </w:r>
      <w:r w:rsidR="00BA68D6" w:rsidRPr="004708AE">
        <w:rPr>
          <w:lang w:val="en-AU"/>
        </w:rPr>
        <w:t xml:space="preserve"> representative sample of measurements at individual measurement positions</w:t>
      </w:r>
      <w:r>
        <w:rPr>
          <w:lang w:val="en-AU"/>
        </w:rPr>
        <w:t xml:space="preserve"> may be found in the attached PDF.</w:t>
      </w:r>
    </w:p>
    <w:p w14:paraId="5F2C576C" w14:textId="386843CA" w:rsidR="00BA68D6" w:rsidRPr="007C091B" w:rsidRDefault="00BA68D6" w:rsidP="00FB0D7C">
      <w:pPr>
        <w:pStyle w:val="BodyText"/>
        <w:rPr>
          <w:lang w:val="en-AU"/>
        </w:rPr>
      </w:pPr>
    </w:p>
    <w:sectPr w:rsidR="00BA68D6" w:rsidRPr="007C091B" w:rsidSect="00635F72">
      <w:headerReference w:type="even" r:id="rId13"/>
      <w:headerReference w:type="default" r:id="rId14"/>
      <w:footerReference w:type="even" r:id="rId15"/>
      <w:footerReference w:type="default" r:id="rId16"/>
      <w:headerReference w:type="first" r:id="rId17"/>
      <w:footerReference w:type="first" r:id="rId18"/>
      <w:pgSz w:w="11906" w:h="16838"/>
      <w:pgMar w:top="1418" w:right="1418"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F28C82" w14:textId="77777777" w:rsidR="00B37172" w:rsidRDefault="00B37172">
      <w:r>
        <w:separator/>
      </w:r>
    </w:p>
  </w:endnote>
  <w:endnote w:type="continuationSeparator" w:id="0">
    <w:p w14:paraId="4673DA17" w14:textId="77777777" w:rsidR="00B37172" w:rsidRDefault="00B37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2A89FC" w14:textId="77777777" w:rsidR="00017F2F" w:rsidRDefault="00017F2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06C542" w14:textId="77777777" w:rsidR="00017F2F" w:rsidRDefault="00017F2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5E6D47" w14:textId="77777777" w:rsidR="00017F2F" w:rsidRDefault="00017F2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73D6DB" w14:textId="77777777" w:rsidR="00B37172" w:rsidRDefault="00B37172">
      <w:r>
        <w:separator/>
      </w:r>
    </w:p>
  </w:footnote>
  <w:footnote w:type="continuationSeparator" w:id="0">
    <w:p w14:paraId="75033458" w14:textId="77777777" w:rsidR="00B37172" w:rsidRDefault="00B371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6DF65F" w14:textId="77777777" w:rsidR="00017F2F" w:rsidRDefault="00017F2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359FE4" w14:textId="77777777" w:rsidR="00017F2F" w:rsidRDefault="00017F2F" w:rsidP="00266B88">
    <w:pPr>
      <w:pStyle w:val="Header"/>
      <w:ind w:right="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38B9DC" w14:textId="77777777" w:rsidR="00017F2F" w:rsidRDefault="00017F2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DF36D960"/>
    <w:lvl w:ilvl="0">
      <w:start w:val="1"/>
      <w:numFmt w:val="decimal"/>
      <w:lvlText w:val="%1"/>
      <w:lvlJc w:val="left"/>
      <w:pPr>
        <w:tabs>
          <w:tab w:val="num" w:pos="0"/>
        </w:tabs>
        <w:ind w:left="2551" w:hanging="1304"/>
      </w:pPr>
      <w:rPr>
        <w:strike w:val="0"/>
        <w:dstrike w:val="0"/>
        <w:u w:val="none"/>
        <w:effect w:val="none"/>
      </w:rPr>
    </w:lvl>
    <w:lvl w:ilvl="1">
      <w:start w:val="1"/>
      <w:numFmt w:val="decimal"/>
      <w:lvlText w:val="%1.%2"/>
      <w:lvlJc w:val="left"/>
      <w:pPr>
        <w:tabs>
          <w:tab w:val="num" w:pos="738"/>
        </w:tabs>
        <w:ind w:left="3289" w:hanging="1304"/>
      </w:pPr>
      <w:rPr>
        <w:strike w:val="0"/>
        <w:dstrike w:val="0"/>
        <w:u w:val="none"/>
        <w:effect w:val="none"/>
        <w:lang w:val="en-US"/>
      </w:rPr>
    </w:lvl>
    <w:lvl w:ilvl="2">
      <w:start w:val="1"/>
      <w:numFmt w:val="decimal"/>
      <w:lvlText w:val="%1.%2.%3"/>
      <w:lvlJc w:val="left"/>
      <w:pPr>
        <w:tabs>
          <w:tab w:val="num" w:pos="13"/>
        </w:tabs>
        <w:ind w:left="2564" w:hanging="1304"/>
      </w:pPr>
      <w:rPr>
        <w:strike w:val="0"/>
        <w:dstrike w:val="0"/>
        <w:u w:val="none"/>
        <w:effect w:val="none"/>
      </w:rPr>
    </w:lvl>
    <w:lvl w:ilvl="3">
      <w:start w:val="1"/>
      <w:numFmt w:val="decimal"/>
      <w:lvlText w:val="%1.%2.%3.%4"/>
      <w:lvlJc w:val="left"/>
      <w:pPr>
        <w:tabs>
          <w:tab w:val="num" w:pos="0"/>
        </w:tabs>
        <w:ind w:left="2551" w:hanging="1304"/>
      </w:pPr>
      <w:rPr>
        <w:strike w:val="0"/>
        <w:dstrike w:val="0"/>
        <w:u w:val="none"/>
        <w:effect w:val="none"/>
        <w:lang w:val="en-GB"/>
      </w:rPr>
    </w:lvl>
    <w:lvl w:ilvl="4">
      <w:start w:val="1"/>
      <w:numFmt w:val="decimal"/>
      <w:lvlText w:val="%1.%2.%3.%4.%5"/>
      <w:lvlJc w:val="left"/>
      <w:pPr>
        <w:tabs>
          <w:tab w:val="num" w:pos="0"/>
        </w:tabs>
        <w:ind w:left="2552" w:hanging="1248"/>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 w15:restartNumberingAfterBreak="0">
    <w:nsid w:val="03C142EA"/>
    <w:multiLevelType w:val="hybridMultilevel"/>
    <w:tmpl w:val="BCD6D3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D9E642E"/>
    <w:multiLevelType w:val="hybridMultilevel"/>
    <w:tmpl w:val="FFF2A1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4CE82E97"/>
    <w:multiLevelType w:val="hybridMultilevel"/>
    <w:tmpl w:val="C122BAC2"/>
    <w:lvl w:ilvl="0" w:tplc="71F0A20A">
      <w:start w:val="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BED18BC"/>
    <w:multiLevelType w:val="multilevel"/>
    <w:tmpl w:val="A6D01158"/>
    <w:lvl w:ilvl="0">
      <w:start w:val="1"/>
      <w:numFmt w:val="decimal"/>
      <w:pStyle w:val="Heading1"/>
      <w:lvlText w:val="%1."/>
      <w:lvlJc w:val="left"/>
      <w:pPr>
        <w:tabs>
          <w:tab w:val="num" w:pos="567"/>
        </w:tabs>
        <w:ind w:left="567" w:hanging="567"/>
      </w:pPr>
      <w:rPr>
        <w:rFonts w:hint="default"/>
        <w:u w:val="none"/>
        <w:lang w:val="it-IT"/>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5"/>
  </w:num>
  <w:num w:numId="2">
    <w:abstractNumId w:val="3"/>
  </w:num>
  <w:num w:numId="3">
    <w:abstractNumId w:val="2"/>
  </w:num>
  <w:num w:numId="4">
    <w:abstractNumId w:val="4"/>
  </w:num>
  <w:num w:numId="5">
    <w:abstractNumId w:val="1"/>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799"/>
    <w:rsid w:val="00017F2F"/>
    <w:rsid w:val="00022E81"/>
    <w:rsid w:val="000318DB"/>
    <w:rsid w:val="000442A1"/>
    <w:rsid w:val="000B0174"/>
    <w:rsid w:val="000E1D1A"/>
    <w:rsid w:val="00100F4A"/>
    <w:rsid w:val="00113299"/>
    <w:rsid w:val="00117DC7"/>
    <w:rsid w:val="001639B5"/>
    <w:rsid w:val="00183BA2"/>
    <w:rsid w:val="00185B5D"/>
    <w:rsid w:val="001877C4"/>
    <w:rsid w:val="00197B4A"/>
    <w:rsid w:val="001B6B68"/>
    <w:rsid w:val="001B7BA4"/>
    <w:rsid w:val="001D0503"/>
    <w:rsid w:val="001E2D3C"/>
    <w:rsid w:val="001E6D04"/>
    <w:rsid w:val="002019C1"/>
    <w:rsid w:val="0026076E"/>
    <w:rsid w:val="00262AB8"/>
    <w:rsid w:val="00266B88"/>
    <w:rsid w:val="002D47A1"/>
    <w:rsid w:val="00325145"/>
    <w:rsid w:val="003608AA"/>
    <w:rsid w:val="003878D9"/>
    <w:rsid w:val="003925FF"/>
    <w:rsid w:val="003D1D28"/>
    <w:rsid w:val="003D5181"/>
    <w:rsid w:val="003D5908"/>
    <w:rsid w:val="003F77D0"/>
    <w:rsid w:val="00416197"/>
    <w:rsid w:val="004708AE"/>
    <w:rsid w:val="00481DE8"/>
    <w:rsid w:val="00491BB9"/>
    <w:rsid w:val="004A3F44"/>
    <w:rsid w:val="004A619D"/>
    <w:rsid w:val="004E0AB2"/>
    <w:rsid w:val="0050346E"/>
    <w:rsid w:val="005040AE"/>
    <w:rsid w:val="00526C0E"/>
    <w:rsid w:val="0058592B"/>
    <w:rsid w:val="00593A50"/>
    <w:rsid w:val="005A335E"/>
    <w:rsid w:val="005C1A27"/>
    <w:rsid w:val="005F23F2"/>
    <w:rsid w:val="005F758E"/>
    <w:rsid w:val="00631688"/>
    <w:rsid w:val="00635F72"/>
    <w:rsid w:val="006466DE"/>
    <w:rsid w:val="00646918"/>
    <w:rsid w:val="00657023"/>
    <w:rsid w:val="00695FF4"/>
    <w:rsid w:val="006A1C7D"/>
    <w:rsid w:val="006A286A"/>
    <w:rsid w:val="006C7A1E"/>
    <w:rsid w:val="007171DF"/>
    <w:rsid w:val="0072379A"/>
    <w:rsid w:val="007448CA"/>
    <w:rsid w:val="00763123"/>
    <w:rsid w:val="007845F2"/>
    <w:rsid w:val="00791C6A"/>
    <w:rsid w:val="00792F9C"/>
    <w:rsid w:val="007B3530"/>
    <w:rsid w:val="007C091B"/>
    <w:rsid w:val="007F0B10"/>
    <w:rsid w:val="00840415"/>
    <w:rsid w:val="00843824"/>
    <w:rsid w:val="00872E9C"/>
    <w:rsid w:val="00873A8D"/>
    <w:rsid w:val="00894F38"/>
    <w:rsid w:val="008F3438"/>
    <w:rsid w:val="00923660"/>
    <w:rsid w:val="00923E50"/>
    <w:rsid w:val="00983A13"/>
    <w:rsid w:val="0099208F"/>
    <w:rsid w:val="009C3FC6"/>
    <w:rsid w:val="009C6E6C"/>
    <w:rsid w:val="009D701D"/>
    <w:rsid w:val="00A120E1"/>
    <w:rsid w:val="00A249FB"/>
    <w:rsid w:val="00A55C73"/>
    <w:rsid w:val="00A60F4D"/>
    <w:rsid w:val="00A62B8B"/>
    <w:rsid w:val="00A84DD1"/>
    <w:rsid w:val="00A9325E"/>
    <w:rsid w:val="00A93775"/>
    <w:rsid w:val="00AD1801"/>
    <w:rsid w:val="00AD4006"/>
    <w:rsid w:val="00AF76AD"/>
    <w:rsid w:val="00B2733A"/>
    <w:rsid w:val="00B368D9"/>
    <w:rsid w:val="00B37172"/>
    <w:rsid w:val="00B66CA0"/>
    <w:rsid w:val="00BA178C"/>
    <w:rsid w:val="00BA68D6"/>
    <w:rsid w:val="00C06E1D"/>
    <w:rsid w:val="00C1560A"/>
    <w:rsid w:val="00C25FB0"/>
    <w:rsid w:val="00C46A41"/>
    <w:rsid w:val="00C82C6E"/>
    <w:rsid w:val="00CA49A0"/>
    <w:rsid w:val="00CF0B1C"/>
    <w:rsid w:val="00DB0333"/>
    <w:rsid w:val="00DB5C34"/>
    <w:rsid w:val="00E0459C"/>
    <w:rsid w:val="00E16058"/>
    <w:rsid w:val="00E200FA"/>
    <w:rsid w:val="00E232CF"/>
    <w:rsid w:val="00E67D83"/>
    <w:rsid w:val="00E747B0"/>
    <w:rsid w:val="00E80C87"/>
    <w:rsid w:val="00EA392D"/>
    <w:rsid w:val="00ED3086"/>
    <w:rsid w:val="00EF329C"/>
    <w:rsid w:val="00F002CD"/>
    <w:rsid w:val="00F062F2"/>
    <w:rsid w:val="00F127D5"/>
    <w:rsid w:val="00F307F4"/>
    <w:rsid w:val="00F465A0"/>
    <w:rsid w:val="00F50EC9"/>
    <w:rsid w:val="00F51437"/>
    <w:rsid w:val="00F53776"/>
    <w:rsid w:val="00F61907"/>
    <w:rsid w:val="00F64E0F"/>
    <w:rsid w:val="00FB0D7C"/>
    <w:rsid w:val="00FB32F8"/>
    <w:rsid w:val="00FD0F5C"/>
    <w:rsid w:val="00FE0328"/>
    <w:rsid w:val="00FE5799"/>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1ACC624"/>
  <w15:docId w15:val="{03E1B71C-7D46-4424-997C-AA0FA2EB86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5799"/>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E5799"/>
    <w:pPr>
      <w:keepNext/>
      <w:numPr>
        <w:ilvl w:val="1"/>
        <w:numId w:val="1"/>
      </w:numPr>
      <w:tabs>
        <w:tab w:val="clear" w:pos="3447"/>
      </w:tabs>
      <w:spacing w:before="240" w:after="60"/>
      <w:ind w:left="567"/>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
    <w:basedOn w:val="DefaultParagraphFont"/>
    <w:link w:val="Heading2"/>
    <w:rsid w:val="00FE5799"/>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FE5799"/>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5799"/>
    <w:rPr>
      <w:rFonts w:ascii="Times New Roman" w:eastAsia="MS Mincho" w:hAnsi="Times New Roman" w:cs="Times New Roman"/>
      <w:b/>
      <w:bCs/>
      <w:sz w:val="28"/>
      <w:szCs w:val="28"/>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pPr>
      <w:spacing w:after="120"/>
      <w:jc w:val="both"/>
    </w:pPr>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character" w:styleId="CommentReference">
    <w:name w:val="annotation reference"/>
    <w:basedOn w:val="DefaultParagraphFont"/>
    <w:uiPriority w:val="99"/>
    <w:semiHidden/>
    <w:unhideWhenUsed/>
    <w:rsid w:val="00F062F2"/>
    <w:rPr>
      <w:sz w:val="16"/>
      <w:szCs w:val="16"/>
    </w:rPr>
  </w:style>
  <w:style w:type="paragraph" w:styleId="CommentText">
    <w:name w:val="annotation text"/>
    <w:basedOn w:val="Normal"/>
    <w:link w:val="CommentTextChar"/>
    <w:uiPriority w:val="99"/>
    <w:semiHidden/>
    <w:unhideWhenUsed/>
    <w:rsid w:val="00F062F2"/>
    <w:rPr>
      <w:szCs w:val="20"/>
    </w:rPr>
  </w:style>
  <w:style w:type="character" w:customStyle="1" w:styleId="CommentTextChar">
    <w:name w:val="Comment Text Char"/>
    <w:basedOn w:val="DefaultParagraphFont"/>
    <w:link w:val="CommentText"/>
    <w:uiPriority w:val="99"/>
    <w:semiHidden/>
    <w:rsid w:val="00F062F2"/>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F062F2"/>
    <w:rPr>
      <w:b/>
      <w:bCs/>
    </w:rPr>
  </w:style>
  <w:style w:type="character" w:customStyle="1" w:styleId="CommentSubjectChar">
    <w:name w:val="Comment Subject Char"/>
    <w:basedOn w:val="CommentTextChar"/>
    <w:link w:val="CommentSubject"/>
    <w:uiPriority w:val="99"/>
    <w:semiHidden/>
    <w:rsid w:val="00F062F2"/>
    <w:rPr>
      <w:rFonts w:ascii="Times New Roman" w:eastAsia="Times New Roman" w:hAnsi="Times New Roman" w:cs="Times New Roman"/>
      <w:b/>
      <w:bCs/>
      <w:sz w:val="20"/>
      <w:szCs w:val="20"/>
      <w:lang w:val="en-US"/>
    </w:rPr>
  </w:style>
  <w:style w:type="paragraph" w:styleId="BalloonText">
    <w:name w:val="Balloon Text"/>
    <w:basedOn w:val="Normal"/>
    <w:link w:val="BalloonTextChar"/>
    <w:uiPriority w:val="99"/>
    <w:semiHidden/>
    <w:unhideWhenUsed/>
    <w:rsid w:val="00F062F2"/>
    <w:rPr>
      <w:rFonts w:ascii="Tahoma" w:hAnsi="Tahoma" w:cs="Tahoma"/>
      <w:sz w:val="16"/>
      <w:szCs w:val="16"/>
    </w:rPr>
  </w:style>
  <w:style w:type="character" w:customStyle="1" w:styleId="BalloonTextChar">
    <w:name w:val="Balloon Text Char"/>
    <w:basedOn w:val="DefaultParagraphFont"/>
    <w:link w:val="BalloonText"/>
    <w:uiPriority w:val="99"/>
    <w:semiHidden/>
    <w:rsid w:val="00F062F2"/>
    <w:rPr>
      <w:rFonts w:ascii="Tahoma" w:eastAsia="Times New Roman" w:hAnsi="Tahoma" w:cs="Tahoma"/>
      <w:sz w:val="16"/>
      <w:szCs w:val="16"/>
      <w:lang w:val="en-US"/>
    </w:rPr>
  </w:style>
  <w:style w:type="paragraph" w:styleId="Footer">
    <w:name w:val="footer"/>
    <w:basedOn w:val="Normal"/>
    <w:link w:val="FooterChar"/>
    <w:uiPriority w:val="99"/>
    <w:unhideWhenUsed/>
    <w:rsid w:val="00F64E0F"/>
    <w:pPr>
      <w:tabs>
        <w:tab w:val="center" w:pos="4536"/>
        <w:tab w:val="right" w:pos="9072"/>
      </w:tabs>
    </w:pPr>
  </w:style>
  <w:style w:type="character" w:customStyle="1" w:styleId="FooterChar">
    <w:name w:val="Footer Char"/>
    <w:basedOn w:val="DefaultParagraphFont"/>
    <w:link w:val="Footer"/>
    <w:uiPriority w:val="99"/>
    <w:rsid w:val="00F64E0F"/>
    <w:rPr>
      <w:rFonts w:ascii="Times New Roman" w:eastAsia="Times New Roman" w:hAnsi="Times New Roman" w:cs="Times New Roman"/>
      <w:sz w:val="20"/>
      <w:szCs w:val="24"/>
      <w:lang w:val="en-US"/>
    </w:rPr>
  </w:style>
  <w:style w:type="paragraph" w:styleId="Caption">
    <w:name w:val="caption"/>
    <w:basedOn w:val="Normal"/>
    <w:next w:val="Normal"/>
    <w:uiPriority w:val="35"/>
    <w:unhideWhenUsed/>
    <w:qFormat/>
    <w:rsid w:val="00B66CA0"/>
    <w:pPr>
      <w:spacing w:after="200"/>
    </w:pPr>
    <w:rPr>
      <w:b/>
      <w:bCs/>
      <w:color w:val="4F81BD" w:themeColor="accent1"/>
      <w:sz w:val="18"/>
      <w:szCs w:val="18"/>
    </w:rPr>
  </w:style>
  <w:style w:type="paragraph" w:styleId="NormalWeb">
    <w:name w:val="Normal (Web)"/>
    <w:basedOn w:val="Normal"/>
    <w:uiPriority w:val="99"/>
    <w:unhideWhenUsed/>
    <w:rsid w:val="00B66CA0"/>
    <w:pPr>
      <w:spacing w:before="100" w:beforeAutospacing="1" w:after="100" w:afterAutospacing="1"/>
    </w:pPr>
    <w:rPr>
      <w:rFonts w:eastAsiaTheme="minorEastAsia"/>
      <w:sz w:val="24"/>
      <w:lang w:val="en-GB" w:eastAsia="en-GB"/>
    </w:rPr>
  </w:style>
  <w:style w:type="paragraph" w:styleId="FootnoteText">
    <w:name w:val="footnote text"/>
    <w:basedOn w:val="Normal"/>
    <w:link w:val="FootnoteTextChar"/>
    <w:semiHidden/>
    <w:rsid w:val="00F127D5"/>
    <w:pPr>
      <w:ind w:firstLine="202"/>
      <w:jc w:val="both"/>
    </w:pPr>
    <w:rPr>
      <w:sz w:val="16"/>
      <w:szCs w:val="16"/>
    </w:rPr>
  </w:style>
  <w:style w:type="character" w:customStyle="1" w:styleId="FootnoteTextChar">
    <w:name w:val="Footnote Text Char"/>
    <w:basedOn w:val="DefaultParagraphFont"/>
    <w:link w:val="FootnoteText"/>
    <w:semiHidden/>
    <w:rsid w:val="00F127D5"/>
    <w:rPr>
      <w:rFonts w:ascii="Times New Roman" w:eastAsia="Times New Roman" w:hAnsi="Times New Roman" w:cs="Times New Roman"/>
      <w:sz w:val="16"/>
      <w:szCs w:val="16"/>
      <w:lang w:val="en-US"/>
    </w:rPr>
  </w:style>
  <w:style w:type="character" w:styleId="PlaceholderText">
    <w:name w:val="Placeholder Text"/>
    <w:basedOn w:val="DefaultParagraphFont"/>
    <w:uiPriority w:val="99"/>
    <w:semiHidden/>
    <w:rsid w:val="00791C6A"/>
    <w:rPr>
      <w:color w:val="808080"/>
    </w:rPr>
  </w:style>
  <w:style w:type="character" w:styleId="Hyperlink">
    <w:name w:val="Hyperlink"/>
    <w:basedOn w:val="DefaultParagraphFont"/>
    <w:uiPriority w:val="99"/>
    <w:unhideWhenUsed/>
    <w:rsid w:val="000442A1"/>
    <w:rPr>
      <w:color w:val="0000FF" w:themeColor="hyperlink"/>
      <w:u w:val="single"/>
    </w:rPr>
  </w:style>
  <w:style w:type="table" w:styleId="TableGrid">
    <w:name w:val="Table Grid"/>
    <w:basedOn w:val="TableNormal"/>
    <w:uiPriority w:val="59"/>
    <w:rsid w:val="005A33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5A335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932053">
      <w:bodyDiv w:val="1"/>
      <w:marLeft w:val="0"/>
      <w:marRight w:val="0"/>
      <w:marTop w:val="0"/>
      <w:marBottom w:val="0"/>
      <w:divBdr>
        <w:top w:val="none" w:sz="0" w:space="0" w:color="auto"/>
        <w:left w:val="none" w:sz="0" w:space="0" w:color="auto"/>
        <w:bottom w:val="none" w:sz="0" w:space="0" w:color="auto"/>
        <w:right w:val="none" w:sz="0" w:space="0" w:color="auto"/>
      </w:divBdr>
    </w:div>
    <w:div w:id="114449829">
      <w:bodyDiv w:val="1"/>
      <w:marLeft w:val="0"/>
      <w:marRight w:val="0"/>
      <w:marTop w:val="0"/>
      <w:marBottom w:val="0"/>
      <w:divBdr>
        <w:top w:val="none" w:sz="0" w:space="0" w:color="auto"/>
        <w:left w:val="none" w:sz="0" w:space="0" w:color="auto"/>
        <w:bottom w:val="none" w:sz="0" w:space="0" w:color="auto"/>
        <w:right w:val="none" w:sz="0" w:space="0" w:color="auto"/>
      </w:divBdr>
    </w:div>
    <w:div w:id="260796458">
      <w:bodyDiv w:val="1"/>
      <w:marLeft w:val="0"/>
      <w:marRight w:val="0"/>
      <w:marTop w:val="0"/>
      <w:marBottom w:val="0"/>
      <w:divBdr>
        <w:top w:val="none" w:sz="0" w:space="0" w:color="auto"/>
        <w:left w:val="none" w:sz="0" w:space="0" w:color="auto"/>
        <w:bottom w:val="none" w:sz="0" w:space="0" w:color="auto"/>
        <w:right w:val="none" w:sz="0" w:space="0" w:color="auto"/>
      </w:divBdr>
    </w:div>
    <w:div w:id="264191024">
      <w:bodyDiv w:val="1"/>
      <w:marLeft w:val="0"/>
      <w:marRight w:val="0"/>
      <w:marTop w:val="0"/>
      <w:marBottom w:val="0"/>
      <w:divBdr>
        <w:top w:val="none" w:sz="0" w:space="0" w:color="auto"/>
        <w:left w:val="none" w:sz="0" w:space="0" w:color="auto"/>
        <w:bottom w:val="none" w:sz="0" w:space="0" w:color="auto"/>
        <w:right w:val="none" w:sz="0" w:space="0" w:color="auto"/>
      </w:divBdr>
    </w:div>
    <w:div w:id="671832507">
      <w:bodyDiv w:val="1"/>
      <w:marLeft w:val="0"/>
      <w:marRight w:val="0"/>
      <w:marTop w:val="0"/>
      <w:marBottom w:val="0"/>
      <w:divBdr>
        <w:top w:val="none" w:sz="0" w:space="0" w:color="auto"/>
        <w:left w:val="none" w:sz="0" w:space="0" w:color="auto"/>
        <w:bottom w:val="none" w:sz="0" w:space="0" w:color="auto"/>
        <w:right w:val="none" w:sz="0" w:space="0" w:color="auto"/>
      </w:divBdr>
    </w:div>
    <w:div w:id="1794441561">
      <w:bodyDiv w:val="1"/>
      <w:marLeft w:val="0"/>
      <w:marRight w:val="0"/>
      <w:marTop w:val="0"/>
      <w:marBottom w:val="0"/>
      <w:divBdr>
        <w:top w:val="none" w:sz="0" w:space="0" w:color="auto"/>
        <w:left w:val="none" w:sz="0" w:space="0" w:color="auto"/>
        <w:bottom w:val="none" w:sz="0" w:space="0" w:color="auto"/>
        <w:right w:val="none" w:sz="0" w:space="0" w:color="auto"/>
      </w:divBdr>
    </w:div>
    <w:div w:id="1811556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09DC35-C4DC-4C39-ADE4-FC445411E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4</Pages>
  <Words>1228</Words>
  <Characters>7003</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Telstra</Company>
  <LinksUpToDate>false</LinksUpToDate>
  <CharactersWithSpaces>8215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nick tompson</dc:creator>
  <cp:lastModifiedBy>Tompson, Nick</cp:lastModifiedBy>
  <cp:revision>6</cp:revision>
  <dcterms:created xsi:type="dcterms:W3CDTF">2016-05-13T14:54:00Z</dcterms:created>
  <dcterms:modified xsi:type="dcterms:W3CDTF">2016-05-13T16:12:00Z</dcterms:modified>
</cp:coreProperties>
</file>